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4CAB0">
      <w:pPr>
        <w:rPr>
          <w:rFonts w:hint="eastAsia" w:ascii="黑体" w:hAnsi="黑体" w:eastAsia="黑体" w:cs="黑体"/>
          <w:sz w:val="32"/>
          <w:szCs w:val="32"/>
          <w:highlight w:val="none"/>
          <w:lang w:val="en-US" w:eastAsia="zh-CN"/>
        </w:rPr>
      </w:pPr>
      <w:bookmarkStart w:id="6" w:name="_GoBack"/>
      <w:bookmarkEnd w:id="6"/>
      <w:r>
        <w:rPr>
          <w:rFonts w:hint="eastAsia" w:ascii="黑体" w:hAnsi="黑体" w:eastAsia="黑体" w:cs="黑体"/>
          <w:sz w:val="32"/>
          <w:szCs w:val="32"/>
          <w:highlight w:val="none"/>
          <w:lang w:val="en-US" w:eastAsia="zh-CN"/>
        </w:rPr>
        <w:t>附件3：</w:t>
      </w:r>
    </w:p>
    <w:p w14:paraId="691551F1">
      <w:pPr>
        <w:spacing w:line="360" w:lineRule="auto"/>
        <w:jc w:val="center"/>
        <w:rPr>
          <w:rFonts w:hint="default" w:hAnsi="宋体" w:cs="仿宋"/>
          <w:b/>
          <w:color w:val="auto"/>
          <w:sz w:val="28"/>
          <w:szCs w:val="28"/>
          <w:highlight w:val="none"/>
          <w:lang w:val="en-US"/>
        </w:rPr>
      </w:pPr>
      <w:r>
        <w:rPr>
          <w:rFonts w:hint="eastAsia" w:ascii="宋体" w:hAnsi="宋体" w:cs="宋体"/>
          <w:sz w:val="28"/>
          <w:szCs w:val="28"/>
          <w:lang w:val="en-US" w:eastAsia="zh-CN"/>
        </w:rPr>
        <w:t xml:space="preserve">           </w:t>
      </w:r>
      <w:r>
        <w:rPr>
          <w:rFonts w:hint="eastAsia" w:ascii="宋体" w:hAnsi="宋体" w:cs="宋体"/>
          <w:sz w:val="28"/>
          <w:szCs w:val="28"/>
        </w:rPr>
        <w:t>合同编号</w:t>
      </w:r>
      <w:r>
        <w:rPr>
          <w:rFonts w:hint="eastAsia" w:ascii="宋体" w:hAnsi="宋体" w:cs="宋体"/>
          <w:color w:val="auto"/>
          <w:sz w:val="28"/>
          <w:szCs w:val="28"/>
        </w:rPr>
        <w:t>：</w:t>
      </w:r>
      <w:r>
        <w:rPr>
          <w:rFonts w:hint="eastAsia" w:ascii="宋体" w:hAnsi="宋体" w:cs="宋体"/>
          <w:color w:val="auto"/>
          <w:sz w:val="28"/>
          <w:szCs w:val="28"/>
          <w:lang w:val="en-US" w:eastAsia="zh-CN"/>
        </w:rPr>
        <w:t>RZSM-WLSYB-CG-202600x</w:t>
      </w:r>
    </w:p>
    <w:p w14:paraId="22E88C5E">
      <w:pPr>
        <w:spacing w:line="360" w:lineRule="auto"/>
        <w:jc w:val="center"/>
        <w:rPr>
          <w:rFonts w:hAnsi="宋体" w:cs="仿宋"/>
          <w:b/>
          <w:color w:val="auto"/>
          <w:sz w:val="44"/>
          <w:szCs w:val="44"/>
          <w:highlight w:val="none"/>
        </w:rPr>
      </w:pPr>
    </w:p>
    <w:p w14:paraId="66D63547">
      <w:pPr>
        <w:spacing w:line="360" w:lineRule="auto"/>
        <w:jc w:val="center"/>
        <w:rPr>
          <w:rFonts w:hAnsi="宋体" w:cs="仿宋"/>
          <w:b/>
          <w:color w:val="auto"/>
          <w:sz w:val="44"/>
          <w:szCs w:val="44"/>
          <w:highlight w:val="none"/>
        </w:rPr>
      </w:pPr>
    </w:p>
    <w:p w14:paraId="7F76D0F7">
      <w:pPr>
        <w:spacing w:line="360" w:lineRule="auto"/>
        <w:jc w:val="center"/>
        <w:rPr>
          <w:rFonts w:hAnsi="宋体" w:cs="仿宋"/>
          <w:b/>
          <w:color w:val="auto"/>
          <w:sz w:val="44"/>
          <w:szCs w:val="44"/>
          <w:highlight w:val="none"/>
        </w:rPr>
      </w:pPr>
    </w:p>
    <w:p w14:paraId="1D8C6087">
      <w:pPr>
        <w:spacing w:line="360" w:lineRule="auto"/>
        <w:jc w:val="center"/>
        <w:rPr>
          <w:rFonts w:hAnsi="宋体" w:cs="仿宋"/>
          <w:b/>
          <w:color w:val="auto"/>
          <w:sz w:val="44"/>
          <w:szCs w:val="44"/>
          <w:highlight w:val="none"/>
        </w:rPr>
      </w:pPr>
      <w:r>
        <w:rPr>
          <w:rFonts w:hAnsi="宋体" w:cs="仿宋"/>
          <w:b/>
          <w:color w:val="auto"/>
          <w:sz w:val="44"/>
          <w:szCs w:val="44"/>
          <w:highlight w:val="none"/>
        </w:rPr>
        <w:t>材料采购合同</w:t>
      </w:r>
    </w:p>
    <w:p w14:paraId="2106A276">
      <w:pPr>
        <w:spacing w:line="360" w:lineRule="auto"/>
        <w:jc w:val="center"/>
        <w:rPr>
          <w:rFonts w:hAnsi="宋体" w:cs="仿宋"/>
          <w:b/>
          <w:color w:val="auto"/>
          <w:sz w:val="96"/>
          <w:szCs w:val="96"/>
          <w:highlight w:val="none"/>
        </w:rPr>
      </w:pPr>
    </w:p>
    <w:p w14:paraId="11192CF9">
      <w:pPr>
        <w:spacing w:line="360" w:lineRule="auto"/>
        <w:jc w:val="center"/>
        <w:rPr>
          <w:rFonts w:hAnsi="宋体" w:cs="仿宋"/>
          <w:b/>
          <w:color w:val="auto"/>
          <w:sz w:val="48"/>
          <w:szCs w:val="36"/>
          <w:highlight w:val="none"/>
        </w:rPr>
      </w:pPr>
    </w:p>
    <w:p w14:paraId="4D5E6C1A">
      <w:pPr>
        <w:spacing w:line="360" w:lineRule="auto"/>
        <w:ind w:left="1529" w:leftChars="728" w:firstLine="0" w:firstLineChars="0"/>
        <w:jc w:val="both"/>
        <w:rPr>
          <w:rFonts w:hAnsi="宋体" w:cs="仿宋"/>
          <w:color w:val="auto"/>
          <w:sz w:val="32"/>
          <w:szCs w:val="32"/>
          <w:highlight w:val="none"/>
          <w:u w:val="single"/>
        </w:rPr>
      </w:pPr>
      <w:r>
        <w:rPr>
          <w:rFonts w:hAnsi="宋体" w:cs="仿宋"/>
          <w:color w:val="auto"/>
          <w:sz w:val="32"/>
          <w:szCs w:val="32"/>
          <w:highlight w:val="none"/>
        </w:rPr>
        <w:t>合同名称：</w:t>
      </w:r>
      <w:r>
        <w:rPr>
          <w:rFonts w:hint="eastAsia" w:hAnsi="宋体" w:cs="仿宋"/>
          <w:color w:val="auto"/>
          <w:sz w:val="32"/>
          <w:szCs w:val="32"/>
          <w:highlight w:val="none"/>
          <w:u w:val="single"/>
        </w:rPr>
        <w:t xml:space="preserve"> </w:t>
      </w:r>
      <w:r>
        <w:rPr>
          <w:rFonts w:hint="eastAsia" w:hAnsi="宋体" w:cs="仿宋"/>
          <w:color w:val="auto"/>
          <w:sz w:val="32"/>
          <w:szCs w:val="32"/>
          <w:highlight w:val="none"/>
          <w:u w:val="single"/>
          <w:lang w:val="en-US" w:eastAsia="zh-CN"/>
        </w:rPr>
        <w:t>夹江县城乡供水一张网建设项目-青衣水厂扩建工程（二阶段）农村入户管网项目</w:t>
      </w:r>
      <w:r>
        <w:rPr>
          <w:rFonts w:hint="eastAsia" w:hAnsi="宋体" w:cs="仿宋"/>
          <w:color w:val="auto"/>
          <w:sz w:val="32"/>
          <w:szCs w:val="32"/>
          <w:highlight w:val="none"/>
          <w:u w:val="single"/>
        </w:rPr>
        <w:t>材料采购合同</w:t>
      </w:r>
    </w:p>
    <w:p w14:paraId="52E901FA">
      <w:pPr>
        <w:spacing w:line="360" w:lineRule="auto"/>
        <w:ind w:firstLine="2560" w:firstLineChars="800"/>
        <w:jc w:val="both"/>
        <w:rPr>
          <w:rFonts w:hAnsi="宋体" w:cs="仿宋"/>
          <w:color w:val="auto"/>
          <w:sz w:val="32"/>
          <w:szCs w:val="32"/>
          <w:highlight w:val="none"/>
          <w:u w:val="single"/>
        </w:rPr>
      </w:pPr>
      <w:r>
        <w:rPr>
          <w:rFonts w:hAnsi="宋体" w:cs="仿宋"/>
          <w:color w:val="auto"/>
          <w:sz w:val="32"/>
          <w:szCs w:val="24"/>
          <w:highlight w:val="none"/>
        </w:rPr>
        <w:t>甲    方：</w:t>
      </w:r>
      <w:r>
        <w:rPr>
          <w:rFonts w:hint="eastAsia" w:hAnsi="宋体" w:cs="仿宋"/>
          <w:color w:val="auto"/>
          <w:sz w:val="32"/>
          <w:szCs w:val="32"/>
          <w:highlight w:val="none"/>
          <w:u w:val="single"/>
          <w:lang w:val="en-US" w:eastAsia="zh-CN"/>
        </w:rPr>
        <w:t>夹江县润泽商贸有限公司</w:t>
      </w:r>
    </w:p>
    <w:p w14:paraId="27FD4832">
      <w:pPr>
        <w:spacing w:line="360" w:lineRule="auto"/>
        <w:ind w:firstLine="2560" w:firstLineChars="800"/>
        <w:jc w:val="both"/>
        <w:rPr>
          <w:rFonts w:hint="default" w:hAnsi="宋体" w:eastAsia="宋体" w:cs="仿宋"/>
          <w:color w:val="auto"/>
          <w:sz w:val="32"/>
          <w:szCs w:val="32"/>
          <w:highlight w:val="none"/>
          <w:lang w:val="en-US" w:eastAsia="zh-CN"/>
        </w:rPr>
      </w:pPr>
      <w:r>
        <w:rPr>
          <w:rFonts w:hAnsi="宋体" w:cs="仿宋"/>
          <w:color w:val="auto"/>
          <w:sz w:val="32"/>
          <w:szCs w:val="32"/>
          <w:highlight w:val="none"/>
        </w:rPr>
        <w:t>乙    方：</w:t>
      </w:r>
      <w:r>
        <w:rPr>
          <w:rFonts w:hAnsi="宋体" w:cs="仿宋"/>
          <w:color w:val="auto"/>
          <w:sz w:val="32"/>
          <w:szCs w:val="32"/>
          <w:highlight w:val="none"/>
          <w:u w:val="single"/>
        </w:rPr>
        <w:t xml:space="preserve"> </w:t>
      </w:r>
      <w:r>
        <w:rPr>
          <w:rFonts w:hint="eastAsia" w:hAnsi="宋体" w:cs="仿宋"/>
          <w:color w:val="auto"/>
          <w:sz w:val="32"/>
          <w:szCs w:val="32"/>
          <w:highlight w:val="none"/>
          <w:u w:val="single"/>
          <w:lang w:val="en-US" w:eastAsia="zh-CN"/>
        </w:rPr>
        <w:t xml:space="preserve">                     </w:t>
      </w:r>
    </w:p>
    <w:p w14:paraId="249716E6">
      <w:pPr>
        <w:spacing w:line="360" w:lineRule="auto"/>
        <w:ind w:firstLine="2560" w:firstLineChars="800"/>
        <w:jc w:val="both"/>
        <w:rPr>
          <w:rFonts w:hAnsi="宋体" w:cs="仿宋"/>
          <w:color w:val="auto"/>
          <w:sz w:val="28"/>
          <w:szCs w:val="28"/>
          <w:highlight w:val="none"/>
        </w:rPr>
        <w:sectPr>
          <w:footerReference r:id="rId3" w:type="default"/>
          <w:pgSz w:w="11906" w:h="16838"/>
          <w:pgMar w:top="1106" w:right="1134" w:bottom="1134" w:left="1134" w:header="567" w:footer="851" w:gutter="0"/>
          <w:pgNumType w:fmt="decimal"/>
          <w:cols w:space="720" w:num="1"/>
          <w:titlePg/>
          <w:docGrid w:linePitch="312" w:charSpace="0"/>
        </w:sectPr>
      </w:pPr>
      <w:r>
        <w:rPr>
          <w:rFonts w:hAnsi="宋体" w:cs="仿宋"/>
          <w:color w:val="auto"/>
          <w:sz w:val="32"/>
          <w:szCs w:val="32"/>
          <w:highlight w:val="none"/>
        </w:rPr>
        <w:t>签订日期：</w:t>
      </w:r>
      <w:r>
        <w:rPr>
          <w:rFonts w:hAnsi="宋体" w:cs="仿宋"/>
          <w:color w:val="auto"/>
          <w:sz w:val="32"/>
          <w:szCs w:val="32"/>
          <w:highlight w:val="none"/>
          <w:u w:val="single"/>
        </w:rPr>
        <w:t>202</w:t>
      </w:r>
      <w:r>
        <w:rPr>
          <w:rFonts w:hint="eastAsia" w:hAnsi="宋体" w:cs="仿宋"/>
          <w:color w:val="auto"/>
          <w:sz w:val="32"/>
          <w:szCs w:val="32"/>
          <w:highlight w:val="none"/>
          <w:u w:val="single"/>
          <w:lang w:val="en-US" w:eastAsia="zh-CN"/>
        </w:rPr>
        <w:t>6</w:t>
      </w:r>
      <w:r>
        <w:rPr>
          <w:rFonts w:hAnsi="宋体" w:cs="仿宋"/>
          <w:color w:val="auto"/>
          <w:sz w:val="32"/>
          <w:szCs w:val="32"/>
          <w:highlight w:val="none"/>
          <w:u w:val="single"/>
        </w:rPr>
        <w:t>年  月</w:t>
      </w:r>
    </w:p>
    <w:p w14:paraId="72F2A2D2">
      <w:pPr>
        <w:spacing w:after="120" w:afterLines="50" w:line="360" w:lineRule="auto"/>
        <w:jc w:val="center"/>
        <w:rPr>
          <w:rFonts w:hAnsi="宋体" w:cs="仿宋"/>
          <w:b/>
          <w:bCs/>
          <w:color w:val="auto"/>
          <w:sz w:val="28"/>
          <w:szCs w:val="28"/>
          <w:highlight w:val="none"/>
        </w:rPr>
      </w:pPr>
      <w:r>
        <w:rPr>
          <w:rFonts w:hAnsi="宋体" w:cs="仿宋"/>
          <w:b/>
          <w:bCs/>
          <w:color w:val="auto"/>
          <w:sz w:val="28"/>
          <w:szCs w:val="28"/>
          <w:highlight w:val="none"/>
        </w:rPr>
        <w:t>材料采购合同</w:t>
      </w:r>
    </w:p>
    <w:p w14:paraId="47E459DC">
      <w:pPr>
        <w:pStyle w:val="10"/>
        <w:spacing w:line="360" w:lineRule="auto"/>
        <w:rPr>
          <w:rFonts w:hint="eastAsia" w:hAnsi="宋体" w:cs="仿宋"/>
          <w:color w:val="auto"/>
          <w:sz w:val="24"/>
          <w:szCs w:val="24"/>
          <w:highlight w:val="none"/>
        </w:rPr>
      </w:pPr>
    </w:p>
    <w:p w14:paraId="69C7FADE">
      <w:pPr>
        <w:tabs>
          <w:tab w:val="left" w:pos="300"/>
          <w:tab w:val="center" w:pos="4153"/>
        </w:tabs>
        <w:spacing w:line="360" w:lineRule="auto"/>
        <w:jc w:val="left"/>
        <w:rPr>
          <w:rFonts w:hAnsi="宋体" w:cs="仿宋"/>
          <w:color w:val="auto"/>
          <w:sz w:val="24"/>
          <w:szCs w:val="24"/>
          <w:highlight w:val="none"/>
        </w:rPr>
      </w:pPr>
      <w:r>
        <w:rPr>
          <w:rFonts w:hAnsi="宋体" w:cs="仿宋"/>
          <w:color w:val="auto"/>
          <w:sz w:val="24"/>
          <w:szCs w:val="24"/>
          <w:highlight w:val="none"/>
        </w:rPr>
        <w:t>甲方（需方）：</w:t>
      </w:r>
      <w:r>
        <w:rPr>
          <w:rFonts w:hint="eastAsia" w:hAnsi="宋体" w:cs="仿宋"/>
          <w:color w:val="auto"/>
          <w:sz w:val="24"/>
          <w:szCs w:val="24"/>
          <w:highlight w:val="none"/>
          <w:u w:val="single"/>
          <w:lang w:val="en-US" w:eastAsia="zh-CN"/>
        </w:rPr>
        <w:t>夹江县润泽商贸有限公司</w:t>
      </w:r>
    </w:p>
    <w:p w14:paraId="0167924F">
      <w:pPr>
        <w:tabs>
          <w:tab w:val="left" w:pos="300"/>
          <w:tab w:val="center" w:pos="4153"/>
        </w:tabs>
        <w:spacing w:line="360" w:lineRule="auto"/>
        <w:jc w:val="left"/>
        <w:rPr>
          <w:rFonts w:hAnsi="宋体" w:cs="仿宋"/>
          <w:color w:val="auto"/>
          <w:sz w:val="24"/>
          <w:szCs w:val="24"/>
          <w:highlight w:val="none"/>
          <w:u w:val="single"/>
        </w:rPr>
      </w:pPr>
      <w:r>
        <w:rPr>
          <w:rFonts w:hAnsi="宋体" w:cs="仿宋"/>
          <w:color w:val="auto"/>
          <w:sz w:val="24"/>
          <w:szCs w:val="24"/>
          <w:highlight w:val="none"/>
        </w:rPr>
        <w:t>乙方（供方）：</w:t>
      </w:r>
      <w:r>
        <w:rPr>
          <w:rFonts w:hAnsi="宋体" w:cs="仿宋"/>
          <w:color w:val="auto"/>
          <w:sz w:val="24"/>
          <w:szCs w:val="24"/>
          <w:highlight w:val="none"/>
          <w:u w:val="single"/>
        </w:rPr>
        <w:t xml:space="preserve"> </w:t>
      </w:r>
      <w:r>
        <w:rPr>
          <w:rFonts w:hint="eastAsia" w:hAnsi="宋体" w:cs="仿宋"/>
          <w:color w:val="auto"/>
          <w:sz w:val="24"/>
          <w:szCs w:val="24"/>
          <w:highlight w:val="none"/>
          <w:u w:val="single"/>
          <w:lang w:val="en-US" w:eastAsia="zh-CN"/>
        </w:rPr>
        <w:t xml:space="preserve">                   </w:t>
      </w:r>
      <w:r>
        <w:rPr>
          <w:rFonts w:hAnsi="宋体" w:cs="仿宋"/>
          <w:color w:val="auto"/>
          <w:sz w:val="24"/>
          <w:szCs w:val="24"/>
          <w:highlight w:val="none"/>
          <w:u w:val="single"/>
        </w:rPr>
        <w:t xml:space="preserve">  </w:t>
      </w:r>
    </w:p>
    <w:p w14:paraId="25819532">
      <w:pPr>
        <w:tabs>
          <w:tab w:val="left" w:pos="300"/>
          <w:tab w:val="center" w:pos="4153"/>
        </w:tabs>
        <w:spacing w:line="360" w:lineRule="auto"/>
        <w:ind w:firstLine="570"/>
        <w:jc w:val="left"/>
        <w:rPr>
          <w:rFonts w:hAnsi="宋体" w:cs="仿宋"/>
          <w:color w:val="auto"/>
          <w:sz w:val="24"/>
          <w:szCs w:val="24"/>
          <w:highlight w:val="none"/>
        </w:rPr>
      </w:pPr>
      <w:r>
        <w:rPr>
          <w:rFonts w:hAnsi="宋体" w:cs="仿宋"/>
          <w:color w:val="auto"/>
          <w:sz w:val="24"/>
          <w:szCs w:val="24"/>
          <w:highlight w:val="none"/>
        </w:rPr>
        <w:t>根据《中华人民共和国民法典》、《中华人民共和国建筑法》、《建筑工程质量管理条例》、及有关规定，甲乙双方在本着自愿、平等、诚实信用、协商一致的原则，签订本合同。</w:t>
      </w:r>
    </w:p>
    <w:p w14:paraId="598B5D0C">
      <w:pPr>
        <w:numPr>
          <w:ilvl w:val="0"/>
          <w:numId w:val="2"/>
        </w:numPr>
        <w:adjustRightInd w:val="0"/>
        <w:spacing w:after="0" w:line="360" w:lineRule="auto"/>
        <w:ind w:left="243" w:firstLine="482" w:firstLineChars="200"/>
        <w:rPr>
          <w:rFonts w:hAnsi="宋体" w:cs="仿宋"/>
          <w:b/>
          <w:bCs/>
          <w:color w:val="auto"/>
          <w:sz w:val="24"/>
          <w:szCs w:val="24"/>
          <w:highlight w:val="none"/>
        </w:rPr>
      </w:pPr>
      <w:r>
        <w:rPr>
          <w:rFonts w:hAnsi="宋体" w:cs="仿宋"/>
          <w:b/>
          <w:bCs/>
          <w:color w:val="auto"/>
          <w:sz w:val="24"/>
          <w:szCs w:val="24"/>
          <w:highlight w:val="none"/>
        </w:rPr>
        <w:t>产品名称、商标、型号、质量执行标准、生产厂家、计重方式、计量单位、数量、金额：</w:t>
      </w:r>
    </w:p>
    <w:p w14:paraId="2AE60FC7">
      <w:pPr>
        <w:adjustRightInd w:val="0"/>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1.1甲方工程名称：</w:t>
      </w:r>
      <w:r>
        <w:rPr>
          <w:rFonts w:hAnsi="宋体" w:cs="仿宋"/>
          <w:color w:val="auto"/>
          <w:sz w:val="24"/>
          <w:szCs w:val="24"/>
          <w:highlight w:val="none"/>
          <w:u w:val="single"/>
        </w:rPr>
        <w:t xml:space="preserve"> </w:t>
      </w:r>
      <w:r>
        <w:rPr>
          <w:rFonts w:hint="eastAsia" w:hAnsi="宋体" w:cs="仿宋"/>
          <w:color w:val="auto"/>
          <w:sz w:val="24"/>
          <w:szCs w:val="24"/>
          <w:highlight w:val="none"/>
          <w:u w:val="single"/>
          <w:lang w:val="en-US" w:eastAsia="zh-CN"/>
        </w:rPr>
        <w:t>夹江县城乡供水一张网建设项目-青衣水厂扩建工程（二阶段）农村入户管网项目</w:t>
      </w:r>
      <w:r>
        <w:rPr>
          <w:rFonts w:hAnsi="宋体" w:cs="仿宋"/>
          <w:color w:val="auto"/>
          <w:sz w:val="24"/>
          <w:szCs w:val="24"/>
          <w:highlight w:val="none"/>
          <w:u w:val="single"/>
        </w:rPr>
        <w:t xml:space="preserve"> </w:t>
      </w:r>
      <w:r>
        <w:rPr>
          <w:rFonts w:hAnsi="宋体" w:cs="仿宋"/>
          <w:color w:val="auto"/>
          <w:sz w:val="24"/>
          <w:szCs w:val="24"/>
          <w:highlight w:val="none"/>
        </w:rPr>
        <w:t>；</w:t>
      </w:r>
    </w:p>
    <w:p w14:paraId="015458AF">
      <w:pPr>
        <w:tabs>
          <w:tab w:val="left" w:pos="300"/>
          <w:tab w:val="center" w:pos="4153"/>
        </w:tabs>
        <w:spacing w:line="360" w:lineRule="auto"/>
        <w:ind w:firstLine="960" w:firstLineChars="400"/>
        <w:jc w:val="left"/>
        <w:rPr>
          <w:rFonts w:hAnsi="宋体" w:cs="仿宋"/>
          <w:color w:val="auto"/>
          <w:sz w:val="24"/>
          <w:szCs w:val="24"/>
          <w:highlight w:val="none"/>
          <w:u w:val="single"/>
          <w:bdr w:val="single" w:color="auto" w:sz="4" w:space="0"/>
        </w:rPr>
      </w:pPr>
      <w:r>
        <w:rPr>
          <w:rFonts w:hAnsi="宋体" w:cs="仿宋"/>
          <w:color w:val="auto"/>
          <w:sz w:val="24"/>
          <w:szCs w:val="24"/>
          <w:highlight w:val="none"/>
        </w:rPr>
        <w:t>甲方工程地点：</w:t>
      </w:r>
      <w:r>
        <w:rPr>
          <w:rFonts w:hAnsi="宋体" w:cs="仿宋"/>
          <w:color w:val="auto"/>
          <w:sz w:val="24"/>
          <w:szCs w:val="24"/>
          <w:highlight w:val="none"/>
          <w:u w:val="single"/>
        </w:rPr>
        <w:t>四川省乐山市夹江县各镇街道施工现场</w:t>
      </w:r>
      <w:r>
        <w:rPr>
          <w:rFonts w:hAnsi="宋体" w:cs="仿宋"/>
          <w:color w:val="auto"/>
          <w:sz w:val="24"/>
          <w:szCs w:val="24"/>
          <w:highlight w:val="none"/>
        </w:rPr>
        <w:t xml:space="preserve"> 。</w:t>
      </w:r>
    </w:p>
    <w:p w14:paraId="04719FF8">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1.2乙方应按照以下供应范围的规格型号、质量标准、数量、价格等向甲方配送，甲方的采购计划如下：</w:t>
      </w:r>
    </w:p>
    <w:tbl>
      <w:tblPr>
        <w:tblStyle w:val="13"/>
        <w:tblW w:w="9924" w:type="dxa"/>
        <w:tblInd w:w="-3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6"/>
        <w:gridCol w:w="3084"/>
        <w:gridCol w:w="1224"/>
        <w:gridCol w:w="755"/>
        <w:gridCol w:w="1045"/>
        <w:gridCol w:w="1400"/>
        <w:gridCol w:w="840"/>
      </w:tblGrid>
      <w:tr w14:paraId="6D94E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1576" w:type="dxa"/>
            <w:shd w:val="clear" w:color="auto" w:fill="auto"/>
            <w:vAlign w:val="center"/>
          </w:tcPr>
          <w:p w14:paraId="08E554F1">
            <w:pPr>
              <w:spacing w:line="360" w:lineRule="auto"/>
              <w:jc w:val="center"/>
              <w:rPr>
                <w:rFonts w:hint="eastAsia"/>
                <w:sz w:val="21"/>
                <w:szCs w:val="21"/>
                <w:lang w:val="en-US" w:eastAsia="zh-CN"/>
              </w:rPr>
            </w:pPr>
            <w:r>
              <w:rPr>
                <w:rFonts w:hAnsi="宋体" w:cs="仿宋"/>
                <w:color w:val="auto"/>
                <w:sz w:val="24"/>
                <w:szCs w:val="24"/>
                <w:highlight w:val="none"/>
              </w:rPr>
              <w:t>产品名称</w:t>
            </w:r>
          </w:p>
        </w:tc>
        <w:tc>
          <w:tcPr>
            <w:tcW w:w="3084" w:type="dxa"/>
            <w:shd w:val="clear" w:color="auto" w:fill="auto"/>
            <w:vAlign w:val="center"/>
          </w:tcPr>
          <w:p w14:paraId="56C7C45B">
            <w:pPr>
              <w:spacing w:line="360" w:lineRule="auto"/>
              <w:jc w:val="center"/>
              <w:rPr>
                <w:rFonts w:hint="eastAsia"/>
                <w:sz w:val="21"/>
                <w:szCs w:val="21"/>
                <w:lang w:val="en-US" w:eastAsia="zh-CN"/>
              </w:rPr>
            </w:pPr>
            <w:r>
              <w:rPr>
                <w:rFonts w:hAnsi="宋体" w:cs="仿宋"/>
                <w:color w:val="auto"/>
                <w:sz w:val="24"/>
                <w:szCs w:val="24"/>
                <w:highlight w:val="none"/>
              </w:rPr>
              <w:t>规格型号</w:t>
            </w:r>
          </w:p>
        </w:tc>
        <w:tc>
          <w:tcPr>
            <w:tcW w:w="1224" w:type="dxa"/>
            <w:shd w:val="clear" w:color="auto" w:fill="auto"/>
            <w:vAlign w:val="center"/>
          </w:tcPr>
          <w:p w14:paraId="483B0544">
            <w:pPr>
              <w:spacing w:line="360" w:lineRule="auto"/>
              <w:jc w:val="center"/>
              <w:rPr>
                <w:rFonts w:hint="eastAsia" w:ascii="宋体" w:hAnsi="Times New Roman" w:eastAsia="宋体" w:cs="Times New Roman"/>
                <w:sz w:val="21"/>
                <w:szCs w:val="21"/>
                <w:lang w:val="en-US" w:eastAsia="zh-CN" w:bidi="ar-SA"/>
              </w:rPr>
            </w:pPr>
            <w:r>
              <w:rPr>
                <w:rFonts w:hAnsi="宋体" w:cs="仿宋"/>
                <w:color w:val="auto"/>
                <w:sz w:val="24"/>
                <w:szCs w:val="24"/>
                <w:highlight w:val="none"/>
              </w:rPr>
              <w:t>暂定数量</w:t>
            </w:r>
          </w:p>
        </w:tc>
        <w:tc>
          <w:tcPr>
            <w:tcW w:w="755" w:type="dxa"/>
            <w:shd w:val="clear" w:color="auto" w:fill="auto"/>
            <w:vAlign w:val="center"/>
          </w:tcPr>
          <w:p w14:paraId="39DDBC8B">
            <w:pPr>
              <w:spacing w:line="360" w:lineRule="auto"/>
              <w:jc w:val="center"/>
              <w:rPr>
                <w:rFonts w:hint="default"/>
                <w:sz w:val="21"/>
                <w:szCs w:val="21"/>
                <w:lang w:val="en-US" w:eastAsia="zh-CN"/>
              </w:rPr>
            </w:pPr>
            <w:r>
              <w:rPr>
                <w:rFonts w:hint="eastAsia"/>
                <w:sz w:val="24"/>
                <w:szCs w:val="24"/>
                <w:lang w:val="en-US" w:eastAsia="zh-CN"/>
              </w:rPr>
              <w:t>单位</w:t>
            </w:r>
          </w:p>
        </w:tc>
        <w:tc>
          <w:tcPr>
            <w:tcW w:w="1045" w:type="dxa"/>
            <w:shd w:val="clear" w:color="auto" w:fill="auto"/>
            <w:vAlign w:val="center"/>
          </w:tcPr>
          <w:p w14:paraId="14E52312">
            <w:pPr>
              <w:spacing w:line="360" w:lineRule="auto"/>
              <w:jc w:val="center"/>
              <w:rPr>
                <w:rFonts w:hint="eastAsia"/>
                <w:sz w:val="21"/>
                <w:szCs w:val="21"/>
                <w:lang w:val="en-US" w:eastAsia="zh-CN"/>
              </w:rPr>
            </w:pPr>
            <w:r>
              <w:rPr>
                <w:rFonts w:hAnsi="宋体" w:cs="仿宋"/>
                <w:color w:val="auto"/>
                <w:sz w:val="24"/>
                <w:szCs w:val="24"/>
                <w:highlight w:val="none"/>
              </w:rPr>
              <w:t>综合含税单价（元）</w:t>
            </w:r>
          </w:p>
        </w:tc>
        <w:tc>
          <w:tcPr>
            <w:tcW w:w="1400" w:type="dxa"/>
            <w:shd w:val="clear" w:color="auto" w:fill="auto"/>
            <w:vAlign w:val="center"/>
          </w:tcPr>
          <w:p w14:paraId="3ABBDA1E">
            <w:pPr>
              <w:spacing w:line="360" w:lineRule="auto"/>
              <w:jc w:val="center"/>
              <w:rPr>
                <w:rFonts w:hint="eastAsia"/>
                <w:sz w:val="21"/>
                <w:szCs w:val="21"/>
                <w:lang w:val="en-US" w:eastAsia="zh-CN"/>
              </w:rPr>
            </w:pPr>
            <w:r>
              <w:rPr>
                <w:rFonts w:hAnsi="宋体" w:cs="仿宋"/>
                <w:color w:val="auto"/>
                <w:sz w:val="24"/>
                <w:szCs w:val="24"/>
                <w:highlight w:val="none"/>
              </w:rPr>
              <w:t>暂定含税金额(元)</w:t>
            </w:r>
          </w:p>
        </w:tc>
        <w:tc>
          <w:tcPr>
            <w:tcW w:w="840" w:type="dxa"/>
            <w:shd w:val="clear" w:color="auto" w:fill="auto"/>
            <w:vAlign w:val="center"/>
          </w:tcPr>
          <w:p w14:paraId="45D57026">
            <w:pPr>
              <w:spacing w:line="360" w:lineRule="auto"/>
              <w:jc w:val="center"/>
              <w:rPr>
                <w:rFonts w:hint="default"/>
                <w:sz w:val="21"/>
                <w:szCs w:val="21"/>
                <w:lang w:val="en-US" w:eastAsia="zh-CN"/>
              </w:rPr>
            </w:pPr>
            <w:r>
              <w:rPr>
                <w:rFonts w:hAnsi="宋体" w:cs="仿宋"/>
                <w:color w:val="auto"/>
                <w:sz w:val="24"/>
                <w:szCs w:val="24"/>
                <w:highlight w:val="none"/>
              </w:rPr>
              <w:t>备注</w:t>
            </w:r>
          </w:p>
        </w:tc>
      </w:tr>
      <w:tr w14:paraId="78365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576" w:type="dxa"/>
            <w:shd w:val="clear" w:color="auto" w:fill="auto"/>
            <w:vAlign w:val="center"/>
          </w:tcPr>
          <w:p w14:paraId="627003D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dn25聚乙烯给水管</w:t>
            </w:r>
          </w:p>
        </w:tc>
        <w:tc>
          <w:tcPr>
            <w:tcW w:w="3084" w:type="dxa"/>
            <w:shd w:val="clear" w:color="auto" w:fill="auto"/>
            <w:vAlign w:val="center"/>
          </w:tcPr>
          <w:p w14:paraId="675D0AD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（PE100），PN=1.6MPa ，国标，全新料</w:t>
            </w:r>
          </w:p>
        </w:tc>
        <w:tc>
          <w:tcPr>
            <w:tcW w:w="1224" w:type="dxa"/>
            <w:shd w:val="clear" w:color="auto" w:fill="auto"/>
            <w:vAlign w:val="center"/>
          </w:tcPr>
          <w:p w14:paraId="5FB5544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448745.71</w:t>
            </w:r>
          </w:p>
        </w:tc>
        <w:tc>
          <w:tcPr>
            <w:tcW w:w="755" w:type="dxa"/>
            <w:shd w:val="clear" w:color="auto" w:fill="auto"/>
            <w:vAlign w:val="center"/>
          </w:tcPr>
          <w:p w14:paraId="124A61F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米</w:t>
            </w:r>
          </w:p>
        </w:tc>
        <w:tc>
          <w:tcPr>
            <w:tcW w:w="1045" w:type="dxa"/>
            <w:shd w:val="clear" w:color="auto" w:fill="auto"/>
            <w:vAlign w:val="center"/>
          </w:tcPr>
          <w:p w14:paraId="49E0CA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32CDDB1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9D94F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27B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D584FD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dn32聚乙烯给水管</w:t>
            </w:r>
          </w:p>
        </w:tc>
        <w:tc>
          <w:tcPr>
            <w:tcW w:w="3084" w:type="dxa"/>
            <w:shd w:val="clear" w:color="auto" w:fill="auto"/>
            <w:vAlign w:val="center"/>
          </w:tcPr>
          <w:p w14:paraId="64913AE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（PE100），PN=1.6MPa，国标，全新料</w:t>
            </w:r>
          </w:p>
        </w:tc>
        <w:tc>
          <w:tcPr>
            <w:tcW w:w="1224" w:type="dxa"/>
            <w:shd w:val="clear" w:color="auto" w:fill="auto"/>
            <w:vAlign w:val="center"/>
          </w:tcPr>
          <w:p w14:paraId="3E68F7B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67424.42</w:t>
            </w:r>
          </w:p>
        </w:tc>
        <w:tc>
          <w:tcPr>
            <w:tcW w:w="755" w:type="dxa"/>
            <w:shd w:val="clear" w:color="auto" w:fill="auto"/>
            <w:vAlign w:val="center"/>
          </w:tcPr>
          <w:p w14:paraId="4103F90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米</w:t>
            </w:r>
          </w:p>
        </w:tc>
        <w:tc>
          <w:tcPr>
            <w:tcW w:w="1045" w:type="dxa"/>
            <w:shd w:val="clear" w:color="auto" w:fill="auto"/>
            <w:vAlign w:val="center"/>
          </w:tcPr>
          <w:p w14:paraId="0BFB25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04D1330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F7936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2F9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1403E5F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dn110软密封闸阀</w:t>
            </w:r>
          </w:p>
        </w:tc>
        <w:tc>
          <w:tcPr>
            <w:tcW w:w="3084" w:type="dxa"/>
            <w:shd w:val="clear" w:color="auto" w:fill="auto"/>
            <w:vAlign w:val="center"/>
          </w:tcPr>
          <w:p w14:paraId="315B53E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dn110，PN=1.6MPa，国标，全新料</w:t>
            </w:r>
          </w:p>
        </w:tc>
        <w:tc>
          <w:tcPr>
            <w:tcW w:w="1224" w:type="dxa"/>
            <w:shd w:val="clear" w:color="auto" w:fill="auto"/>
            <w:vAlign w:val="center"/>
          </w:tcPr>
          <w:p w14:paraId="2D61A4B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w:t>
            </w:r>
          </w:p>
        </w:tc>
        <w:tc>
          <w:tcPr>
            <w:tcW w:w="755" w:type="dxa"/>
            <w:shd w:val="clear" w:color="auto" w:fill="auto"/>
            <w:vAlign w:val="center"/>
          </w:tcPr>
          <w:p w14:paraId="13E58A4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28818B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9F1AD5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1C86C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53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40E815C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dn63截止阀</w:t>
            </w:r>
          </w:p>
        </w:tc>
        <w:tc>
          <w:tcPr>
            <w:tcW w:w="3084" w:type="dxa"/>
            <w:shd w:val="clear" w:color="auto" w:fill="auto"/>
            <w:vAlign w:val="center"/>
          </w:tcPr>
          <w:p w14:paraId="3810D20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dn63，铜杆、铜芯截止阀，国标，全新料</w:t>
            </w:r>
          </w:p>
        </w:tc>
        <w:tc>
          <w:tcPr>
            <w:tcW w:w="1224" w:type="dxa"/>
            <w:shd w:val="clear" w:color="auto" w:fill="auto"/>
            <w:vAlign w:val="center"/>
          </w:tcPr>
          <w:p w14:paraId="0F9542C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72EFD22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3CB52F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807ED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13E4E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23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CF50D4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dn32截止阀</w:t>
            </w:r>
          </w:p>
        </w:tc>
        <w:tc>
          <w:tcPr>
            <w:tcW w:w="3084" w:type="dxa"/>
            <w:shd w:val="clear" w:color="auto" w:fill="auto"/>
            <w:vAlign w:val="center"/>
          </w:tcPr>
          <w:p w14:paraId="78562B9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dn32，铜杆、铜芯截止阀，国标，全新料</w:t>
            </w:r>
          </w:p>
        </w:tc>
        <w:tc>
          <w:tcPr>
            <w:tcW w:w="1224" w:type="dxa"/>
            <w:shd w:val="clear" w:color="auto" w:fill="auto"/>
            <w:vAlign w:val="center"/>
          </w:tcPr>
          <w:p w14:paraId="283E256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0863AAA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8C5F5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31FA6C4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22E190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537E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DB62B3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dn25截止阀</w:t>
            </w:r>
          </w:p>
        </w:tc>
        <w:tc>
          <w:tcPr>
            <w:tcW w:w="3084" w:type="dxa"/>
            <w:shd w:val="clear" w:color="auto" w:fill="auto"/>
            <w:vAlign w:val="center"/>
          </w:tcPr>
          <w:p w14:paraId="4E473D2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dn25，新型加长一体卡，国标，全新料</w:t>
            </w:r>
          </w:p>
        </w:tc>
        <w:tc>
          <w:tcPr>
            <w:tcW w:w="1224" w:type="dxa"/>
            <w:shd w:val="clear" w:color="auto" w:fill="auto"/>
            <w:vAlign w:val="center"/>
          </w:tcPr>
          <w:p w14:paraId="4497AD1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1F67D7E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36298B7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C76BF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2D5563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8D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0598EEB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dn110，90°弯头（对接）</w:t>
            </w:r>
          </w:p>
        </w:tc>
        <w:tc>
          <w:tcPr>
            <w:tcW w:w="3084" w:type="dxa"/>
            <w:shd w:val="clear" w:color="auto" w:fill="auto"/>
            <w:vAlign w:val="center"/>
          </w:tcPr>
          <w:p w14:paraId="54F3BE0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dn110（加长型），PN=1.6MPa，国标，全新料</w:t>
            </w:r>
          </w:p>
        </w:tc>
        <w:tc>
          <w:tcPr>
            <w:tcW w:w="1224" w:type="dxa"/>
            <w:shd w:val="clear" w:color="auto" w:fill="auto"/>
            <w:vAlign w:val="center"/>
          </w:tcPr>
          <w:p w14:paraId="062FC35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5D29DC1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86B4C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1198DC5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E8CDC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76FF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36B952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dn110，90°弯头（承插）</w:t>
            </w:r>
          </w:p>
        </w:tc>
        <w:tc>
          <w:tcPr>
            <w:tcW w:w="3084" w:type="dxa"/>
            <w:shd w:val="clear" w:color="auto" w:fill="auto"/>
            <w:vAlign w:val="center"/>
          </w:tcPr>
          <w:p w14:paraId="4E7EBA6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dn110（加长型），PN=1.6MPa，国标，全新料</w:t>
            </w:r>
          </w:p>
        </w:tc>
        <w:tc>
          <w:tcPr>
            <w:tcW w:w="1224" w:type="dxa"/>
            <w:shd w:val="clear" w:color="auto" w:fill="auto"/>
            <w:vAlign w:val="center"/>
          </w:tcPr>
          <w:p w14:paraId="540A1FD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7B0916B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6C0349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58DA81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378750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9FF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3115B1B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dn63，90°弯头（承插）</w:t>
            </w:r>
          </w:p>
        </w:tc>
        <w:tc>
          <w:tcPr>
            <w:tcW w:w="3084" w:type="dxa"/>
            <w:shd w:val="clear" w:color="auto" w:fill="auto"/>
            <w:vAlign w:val="center"/>
          </w:tcPr>
          <w:p w14:paraId="569429D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dn63，PN=1.6MPa，国标，全新料</w:t>
            </w:r>
          </w:p>
        </w:tc>
        <w:tc>
          <w:tcPr>
            <w:tcW w:w="1224" w:type="dxa"/>
            <w:shd w:val="clear" w:color="auto" w:fill="auto"/>
            <w:vAlign w:val="center"/>
          </w:tcPr>
          <w:p w14:paraId="4195724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37EE75E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28BEE64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00E641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8E55E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3BA2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3867B9B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dn32，90°弯头（承插）</w:t>
            </w:r>
          </w:p>
        </w:tc>
        <w:tc>
          <w:tcPr>
            <w:tcW w:w="3084" w:type="dxa"/>
            <w:shd w:val="clear" w:color="auto" w:fill="auto"/>
            <w:vAlign w:val="center"/>
          </w:tcPr>
          <w:p w14:paraId="7C8667F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dn32，PN=1.6MPa，国标，全新料</w:t>
            </w:r>
          </w:p>
        </w:tc>
        <w:tc>
          <w:tcPr>
            <w:tcW w:w="1224" w:type="dxa"/>
            <w:shd w:val="clear" w:color="auto" w:fill="auto"/>
            <w:vAlign w:val="center"/>
          </w:tcPr>
          <w:p w14:paraId="781D80F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765A5B6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1CABC7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C7556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27C16E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DE0D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3DDCBD2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dn25，90°弯头（承插）</w:t>
            </w:r>
          </w:p>
        </w:tc>
        <w:tc>
          <w:tcPr>
            <w:tcW w:w="3084" w:type="dxa"/>
            <w:shd w:val="clear" w:color="auto" w:fill="auto"/>
            <w:vAlign w:val="center"/>
          </w:tcPr>
          <w:p w14:paraId="65816B6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dn25，PN=1.6MPa，国标，全新料</w:t>
            </w:r>
          </w:p>
        </w:tc>
        <w:tc>
          <w:tcPr>
            <w:tcW w:w="1224" w:type="dxa"/>
            <w:shd w:val="clear" w:color="auto" w:fill="auto"/>
            <w:vAlign w:val="center"/>
          </w:tcPr>
          <w:p w14:paraId="46B2225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40000</w:t>
            </w:r>
          </w:p>
        </w:tc>
        <w:tc>
          <w:tcPr>
            <w:tcW w:w="755" w:type="dxa"/>
            <w:shd w:val="clear" w:color="auto" w:fill="auto"/>
            <w:vAlign w:val="center"/>
          </w:tcPr>
          <w:p w14:paraId="54C92E4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197E963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28CE1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4A7C4A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83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5C5DE7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dn110，直接（承插）</w:t>
            </w:r>
          </w:p>
        </w:tc>
        <w:tc>
          <w:tcPr>
            <w:tcW w:w="3084" w:type="dxa"/>
            <w:shd w:val="clear" w:color="auto" w:fill="auto"/>
            <w:vAlign w:val="center"/>
          </w:tcPr>
          <w:p w14:paraId="2134D37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dn110（加长型），PN=1.6MPa，国标，全新料</w:t>
            </w:r>
          </w:p>
        </w:tc>
        <w:tc>
          <w:tcPr>
            <w:tcW w:w="1224" w:type="dxa"/>
            <w:shd w:val="clear" w:color="auto" w:fill="auto"/>
            <w:vAlign w:val="center"/>
          </w:tcPr>
          <w:p w14:paraId="72D0EE3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3FD0BA8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5868D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90016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434A0E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7B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0BF02D2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dn63，直接（承插）</w:t>
            </w:r>
          </w:p>
        </w:tc>
        <w:tc>
          <w:tcPr>
            <w:tcW w:w="3084" w:type="dxa"/>
            <w:shd w:val="clear" w:color="auto" w:fill="auto"/>
            <w:vAlign w:val="center"/>
          </w:tcPr>
          <w:p w14:paraId="2296ACF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dn63，PN=1.6MPa，国标，全新料</w:t>
            </w:r>
          </w:p>
        </w:tc>
        <w:tc>
          <w:tcPr>
            <w:tcW w:w="1224" w:type="dxa"/>
            <w:shd w:val="clear" w:color="auto" w:fill="auto"/>
            <w:vAlign w:val="center"/>
          </w:tcPr>
          <w:p w14:paraId="1484CF5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10000</w:t>
            </w:r>
          </w:p>
        </w:tc>
        <w:tc>
          <w:tcPr>
            <w:tcW w:w="755" w:type="dxa"/>
            <w:shd w:val="clear" w:color="auto" w:fill="auto"/>
            <w:vAlign w:val="center"/>
          </w:tcPr>
          <w:p w14:paraId="146C0FE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5C37B6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01AA51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44724F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707E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210821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dn32，直接（承插）</w:t>
            </w:r>
          </w:p>
        </w:tc>
        <w:tc>
          <w:tcPr>
            <w:tcW w:w="3084" w:type="dxa"/>
            <w:shd w:val="clear" w:color="auto" w:fill="auto"/>
            <w:vAlign w:val="center"/>
          </w:tcPr>
          <w:p w14:paraId="18E970F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dn32，PN=1.6MPa，国标，全新料</w:t>
            </w:r>
          </w:p>
        </w:tc>
        <w:tc>
          <w:tcPr>
            <w:tcW w:w="1224" w:type="dxa"/>
            <w:shd w:val="clear" w:color="auto" w:fill="auto"/>
            <w:vAlign w:val="center"/>
          </w:tcPr>
          <w:p w14:paraId="5AEE47F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7D591D1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3EE389D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1F681C0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458146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50AE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0FF908D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dn25，直接（承插）</w:t>
            </w:r>
          </w:p>
        </w:tc>
        <w:tc>
          <w:tcPr>
            <w:tcW w:w="3084" w:type="dxa"/>
            <w:shd w:val="clear" w:color="auto" w:fill="auto"/>
            <w:vAlign w:val="center"/>
          </w:tcPr>
          <w:p w14:paraId="2F0DABB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dn25，PN=1.6MPa，国标，全新料</w:t>
            </w:r>
          </w:p>
        </w:tc>
        <w:tc>
          <w:tcPr>
            <w:tcW w:w="1224" w:type="dxa"/>
            <w:shd w:val="clear" w:color="auto" w:fill="auto"/>
            <w:vAlign w:val="center"/>
          </w:tcPr>
          <w:p w14:paraId="6677652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0768277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23773B8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BCD0F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2078F6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A86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BFD8FA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dn110</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63，异径直接（对接）</w:t>
            </w:r>
          </w:p>
        </w:tc>
        <w:tc>
          <w:tcPr>
            <w:tcW w:w="3084" w:type="dxa"/>
            <w:shd w:val="clear" w:color="auto" w:fill="auto"/>
            <w:vAlign w:val="center"/>
          </w:tcPr>
          <w:p w14:paraId="1C58FDA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dn110</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63，PN=1.6MPa，国标，全新料</w:t>
            </w:r>
          </w:p>
        </w:tc>
        <w:tc>
          <w:tcPr>
            <w:tcW w:w="1224" w:type="dxa"/>
            <w:shd w:val="clear" w:color="auto" w:fill="auto"/>
            <w:vAlign w:val="center"/>
          </w:tcPr>
          <w:p w14:paraId="3A9AC2D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2454044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524DA59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7CC97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06016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5FE2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0948F3E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dn110</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63，异径直接（承插）</w:t>
            </w:r>
          </w:p>
        </w:tc>
        <w:tc>
          <w:tcPr>
            <w:tcW w:w="3084" w:type="dxa"/>
            <w:shd w:val="clear" w:color="auto" w:fill="auto"/>
            <w:vAlign w:val="center"/>
          </w:tcPr>
          <w:p w14:paraId="1FD4BA9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dn110</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63，PN=1.6MPa，国标，全新料</w:t>
            </w:r>
          </w:p>
        </w:tc>
        <w:tc>
          <w:tcPr>
            <w:tcW w:w="1224" w:type="dxa"/>
            <w:shd w:val="clear" w:color="auto" w:fill="auto"/>
            <w:vAlign w:val="center"/>
          </w:tcPr>
          <w:p w14:paraId="7DA4A9C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6212DA5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2DADDE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0F822A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00415B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1BB3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4E46F1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dn63</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32，异径直接（承插）</w:t>
            </w:r>
          </w:p>
        </w:tc>
        <w:tc>
          <w:tcPr>
            <w:tcW w:w="3084" w:type="dxa"/>
            <w:shd w:val="clear" w:color="auto" w:fill="auto"/>
            <w:vAlign w:val="center"/>
          </w:tcPr>
          <w:p w14:paraId="7614544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dn63</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32，PN=1.6MPa，国标，全新料</w:t>
            </w:r>
          </w:p>
        </w:tc>
        <w:tc>
          <w:tcPr>
            <w:tcW w:w="1224" w:type="dxa"/>
            <w:shd w:val="clear" w:color="auto" w:fill="auto"/>
            <w:vAlign w:val="center"/>
          </w:tcPr>
          <w:p w14:paraId="441054B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10000</w:t>
            </w:r>
          </w:p>
        </w:tc>
        <w:tc>
          <w:tcPr>
            <w:tcW w:w="755" w:type="dxa"/>
            <w:shd w:val="clear" w:color="auto" w:fill="auto"/>
            <w:vAlign w:val="center"/>
          </w:tcPr>
          <w:p w14:paraId="7F46D67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4F1582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0BCA460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09A249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E7E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3D9F983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dn63</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25，异径直接（承插）</w:t>
            </w:r>
          </w:p>
        </w:tc>
        <w:tc>
          <w:tcPr>
            <w:tcW w:w="3084" w:type="dxa"/>
            <w:shd w:val="clear" w:color="auto" w:fill="auto"/>
            <w:vAlign w:val="center"/>
          </w:tcPr>
          <w:p w14:paraId="0EC379E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dn63</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25，PN=1.6MPa，国标，全新料</w:t>
            </w:r>
          </w:p>
        </w:tc>
        <w:tc>
          <w:tcPr>
            <w:tcW w:w="1224" w:type="dxa"/>
            <w:shd w:val="clear" w:color="auto" w:fill="auto"/>
            <w:vAlign w:val="center"/>
          </w:tcPr>
          <w:p w14:paraId="086B8FE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10000</w:t>
            </w:r>
          </w:p>
        </w:tc>
        <w:tc>
          <w:tcPr>
            <w:tcW w:w="755" w:type="dxa"/>
            <w:shd w:val="clear" w:color="auto" w:fill="auto"/>
            <w:vAlign w:val="center"/>
          </w:tcPr>
          <w:p w14:paraId="3B7CCA7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10FD24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757CED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0232D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D418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14DF74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dn32</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25，异径直接（承插）</w:t>
            </w:r>
          </w:p>
        </w:tc>
        <w:tc>
          <w:tcPr>
            <w:tcW w:w="3084" w:type="dxa"/>
            <w:shd w:val="clear" w:color="auto" w:fill="auto"/>
            <w:vAlign w:val="center"/>
          </w:tcPr>
          <w:p w14:paraId="76F89B0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dn32</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25，PN=1.6MPa，国标，全新料</w:t>
            </w:r>
          </w:p>
        </w:tc>
        <w:tc>
          <w:tcPr>
            <w:tcW w:w="1224" w:type="dxa"/>
            <w:shd w:val="clear" w:color="auto" w:fill="auto"/>
            <w:vAlign w:val="center"/>
          </w:tcPr>
          <w:p w14:paraId="47AB977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10000</w:t>
            </w:r>
          </w:p>
        </w:tc>
        <w:tc>
          <w:tcPr>
            <w:tcW w:w="755" w:type="dxa"/>
            <w:shd w:val="clear" w:color="auto" w:fill="auto"/>
            <w:vAlign w:val="center"/>
          </w:tcPr>
          <w:p w14:paraId="2D58989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C3189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04623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2FABCD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D572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1F0DB5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dn110，正三通（对接）</w:t>
            </w:r>
          </w:p>
        </w:tc>
        <w:tc>
          <w:tcPr>
            <w:tcW w:w="3084" w:type="dxa"/>
            <w:shd w:val="clear" w:color="auto" w:fill="auto"/>
            <w:vAlign w:val="center"/>
          </w:tcPr>
          <w:p w14:paraId="03845CE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dn110（加长型），PN=1.6MPa，国标，全新料</w:t>
            </w:r>
          </w:p>
        </w:tc>
        <w:tc>
          <w:tcPr>
            <w:tcW w:w="1224" w:type="dxa"/>
            <w:shd w:val="clear" w:color="auto" w:fill="auto"/>
            <w:vAlign w:val="center"/>
          </w:tcPr>
          <w:p w14:paraId="50239D1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65EC88F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3B52BC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46C70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0D40AE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0C75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4F71AA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dn63，正三通（承插）</w:t>
            </w:r>
          </w:p>
        </w:tc>
        <w:tc>
          <w:tcPr>
            <w:tcW w:w="3084" w:type="dxa"/>
            <w:shd w:val="clear" w:color="auto" w:fill="auto"/>
            <w:vAlign w:val="center"/>
          </w:tcPr>
          <w:p w14:paraId="5D978FD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dn63，PN=1.6MPa，国标，全新料</w:t>
            </w:r>
          </w:p>
        </w:tc>
        <w:tc>
          <w:tcPr>
            <w:tcW w:w="1224" w:type="dxa"/>
            <w:shd w:val="clear" w:color="auto" w:fill="auto"/>
            <w:vAlign w:val="center"/>
          </w:tcPr>
          <w:p w14:paraId="18B17D7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63E0457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54AE1E2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19EB89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0FDB45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02E8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BECC6B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dn32，正三通（承插）</w:t>
            </w:r>
          </w:p>
        </w:tc>
        <w:tc>
          <w:tcPr>
            <w:tcW w:w="3084" w:type="dxa"/>
            <w:shd w:val="clear" w:color="auto" w:fill="auto"/>
            <w:vAlign w:val="center"/>
          </w:tcPr>
          <w:p w14:paraId="0F85C53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dn32，PN=1.6MPa，国标，全新料</w:t>
            </w:r>
          </w:p>
        </w:tc>
        <w:tc>
          <w:tcPr>
            <w:tcW w:w="1224" w:type="dxa"/>
            <w:shd w:val="clear" w:color="auto" w:fill="auto"/>
            <w:vAlign w:val="center"/>
          </w:tcPr>
          <w:p w14:paraId="1E4F66D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1BF7076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55E30C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0ABCF6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A853C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E2B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1A16D08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dn25，正三通（承插）</w:t>
            </w:r>
          </w:p>
        </w:tc>
        <w:tc>
          <w:tcPr>
            <w:tcW w:w="3084" w:type="dxa"/>
            <w:shd w:val="clear" w:color="auto" w:fill="auto"/>
            <w:vAlign w:val="center"/>
          </w:tcPr>
          <w:p w14:paraId="74CEF83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dn25，PN=1.6MPa，国标，全新料</w:t>
            </w:r>
          </w:p>
        </w:tc>
        <w:tc>
          <w:tcPr>
            <w:tcW w:w="1224" w:type="dxa"/>
            <w:shd w:val="clear" w:color="auto" w:fill="auto"/>
            <w:vAlign w:val="center"/>
          </w:tcPr>
          <w:p w14:paraId="390448B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593BADC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888C8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1BBAF6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AD154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B9DC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139EA9C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dn110×63，异径三通（对接）</w:t>
            </w:r>
          </w:p>
        </w:tc>
        <w:tc>
          <w:tcPr>
            <w:tcW w:w="3084" w:type="dxa"/>
            <w:shd w:val="clear" w:color="auto" w:fill="auto"/>
            <w:vAlign w:val="center"/>
          </w:tcPr>
          <w:p w14:paraId="19F56D8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dn110</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63，PN=1.6MPa，国标，全新料</w:t>
            </w:r>
          </w:p>
        </w:tc>
        <w:tc>
          <w:tcPr>
            <w:tcW w:w="1224" w:type="dxa"/>
            <w:shd w:val="clear" w:color="auto" w:fill="auto"/>
            <w:vAlign w:val="center"/>
          </w:tcPr>
          <w:p w14:paraId="15DAEE7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w:t>
            </w:r>
          </w:p>
        </w:tc>
        <w:tc>
          <w:tcPr>
            <w:tcW w:w="755" w:type="dxa"/>
            <w:shd w:val="clear" w:color="auto" w:fill="auto"/>
            <w:vAlign w:val="center"/>
          </w:tcPr>
          <w:p w14:paraId="28178C9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22B3E1D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2DA50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80239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B910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1D02FD0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dn110×63，异径三通（承插）</w:t>
            </w:r>
          </w:p>
        </w:tc>
        <w:tc>
          <w:tcPr>
            <w:tcW w:w="3084" w:type="dxa"/>
            <w:shd w:val="clear" w:color="auto" w:fill="auto"/>
            <w:vAlign w:val="center"/>
          </w:tcPr>
          <w:p w14:paraId="5A04233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dn110</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63，PN=1.6MPa，国标，全新料</w:t>
            </w:r>
          </w:p>
        </w:tc>
        <w:tc>
          <w:tcPr>
            <w:tcW w:w="1224" w:type="dxa"/>
            <w:shd w:val="clear" w:color="auto" w:fill="auto"/>
            <w:vAlign w:val="center"/>
          </w:tcPr>
          <w:p w14:paraId="489E6BB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w:t>
            </w:r>
          </w:p>
        </w:tc>
        <w:tc>
          <w:tcPr>
            <w:tcW w:w="755" w:type="dxa"/>
            <w:shd w:val="clear" w:color="auto" w:fill="auto"/>
            <w:vAlign w:val="center"/>
          </w:tcPr>
          <w:p w14:paraId="1AFB36D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67FFE11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F6F16A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FE38C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B75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413D375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dn63×32，异径三通（承插）</w:t>
            </w:r>
          </w:p>
        </w:tc>
        <w:tc>
          <w:tcPr>
            <w:tcW w:w="3084" w:type="dxa"/>
            <w:shd w:val="clear" w:color="auto" w:fill="auto"/>
            <w:vAlign w:val="center"/>
          </w:tcPr>
          <w:p w14:paraId="5AF7B16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dn63</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32，PN=1.6MPa，国标，全新料</w:t>
            </w:r>
          </w:p>
        </w:tc>
        <w:tc>
          <w:tcPr>
            <w:tcW w:w="1224" w:type="dxa"/>
            <w:shd w:val="clear" w:color="auto" w:fill="auto"/>
            <w:vAlign w:val="center"/>
          </w:tcPr>
          <w:p w14:paraId="37E36C5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4F74550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6057A3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275BC3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246A8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F8E9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366AF28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dn63×25，异径三通（承插）</w:t>
            </w:r>
          </w:p>
        </w:tc>
        <w:tc>
          <w:tcPr>
            <w:tcW w:w="3084" w:type="dxa"/>
            <w:shd w:val="clear" w:color="auto" w:fill="auto"/>
            <w:vAlign w:val="center"/>
          </w:tcPr>
          <w:p w14:paraId="7C7BCEE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dn63</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25，PN=1.6MPa，国标，全新料</w:t>
            </w:r>
          </w:p>
        </w:tc>
        <w:tc>
          <w:tcPr>
            <w:tcW w:w="1224" w:type="dxa"/>
            <w:shd w:val="clear" w:color="auto" w:fill="auto"/>
            <w:vAlign w:val="center"/>
          </w:tcPr>
          <w:p w14:paraId="58E9053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64F8254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49CE8D6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9DF026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3748BA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B0B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7C33A3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dn32×25，异径三通（承插）</w:t>
            </w:r>
          </w:p>
        </w:tc>
        <w:tc>
          <w:tcPr>
            <w:tcW w:w="3084" w:type="dxa"/>
            <w:shd w:val="clear" w:color="auto" w:fill="auto"/>
            <w:vAlign w:val="center"/>
          </w:tcPr>
          <w:p w14:paraId="26CDE3B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Style w:val="16"/>
                <w:rFonts w:hint="eastAsia" w:ascii="宋体" w:hAnsi="宋体" w:eastAsia="宋体" w:cs="宋体"/>
                <w:b w:val="0"/>
                <w:bCs w:val="0"/>
                <w:sz w:val="21"/>
                <w:szCs w:val="21"/>
                <w:lang w:val="en-US" w:eastAsia="zh-CN" w:bidi="ar"/>
              </w:rPr>
              <w:t>dn32</w:t>
            </w:r>
            <w:r>
              <w:rPr>
                <w:rStyle w:val="17"/>
                <w:rFonts w:hint="eastAsia" w:ascii="宋体" w:hAnsi="宋体" w:eastAsia="宋体" w:cs="宋体"/>
                <w:b w:val="0"/>
                <w:bCs w:val="0"/>
                <w:sz w:val="21"/>
                <w:szCs w:val="21"/>
                <w:lang w:val="en-US" w:eastAsia="zh-CN" w:bidi="ar"/>
              </w:rPr>
              <w:t>×</w:t>
            </w:r>
            <w:r>
              <w:rPr>
                <w:rStyle w:val="16"/>
                <w:rFonts w:hint="eastAsia" w:ascii="宋体" w:hAnsi="宋体" w:eastAsia="宋体" w:cs="宋体"/>
                <w:b w:val="0"/>
                <w:bCs w:val="0"/>
                <w:sz w:val="21"/>
                <w:szCs w:val="21"/>
                <w:lang w:val="en-US" w:eastAsia="zh-CN" w:bidi="ar"/>
              </w:rPr>
              <w:t>25，PN=1.6MPa，国标，全新料</w:t>
            </w:r>
          </w:p>
        </w:tc>
        <w:tc>
          <w:tcPr>
            <w:tcW w:w="1224" w:type="dxa"/>
            <w:shd w:val="clear" w:color="auto" w:fill="auto"/>
            <w:vAlign w:val="center"/>
          </w:tcPr>
          <w:p w14:paraId="7F4FB52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5FDCB5A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2849AD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135DA4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D03E5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64F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08AAF9F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dn63x2"，外丝直接</w:t>
            </w:r>
          </w:p>
        </w:tc>
        <w:tc>
          <w:tcPr>
            <w:tcW w:w="3084" w:type="dxa"/>
            <w:shd w:val="clear" w:color="auto" w:fill="auto"/>
            <w:vAlign w:val="center"/>
          </w:tcPr>
          <w:p w14:paraId="670D5A0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dn63x2"，PN=1.6MPa，国标，全新料，嵌件材质为铜镀锌</w:t>
            </w:r>
          </w:p>
        </w:tc>
        <w:tc>
          <w:tcPr>
            <w:tcW w:w="1224" w:type="dxa"/>
            <w:shd w:val="clear" w:color="auto" w:fill="auto"/>
            <w:vAlign w:val="center"/>
          </w:tcPr>
          <w:p w14:paraId="2DD0B25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61ECCDC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2C3A08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D23C9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B9264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1BE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320461E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dn32x1"，外丝直接</w:t>
            </w:r>
          </w:p>
        </w:tc>
        <w:tc>
          <w:tcPr>
            <w:tcW w:w="3084" w:type="dxa"/>
            <w:shd w:val="clear" w:color="auto" w:fill="auto"/>
            <w:vAlign w:val="center"/>
          </w:tcPr>
          <w:p w14:paraId="3907B6D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dn32x1"，PN=1.6MPa，国标，全新料，嵌件材质为铜镀锌</w:t>
            </w:r>
          </w:p>
        </w:tc>
        <w:tc>
          <w:tcPr>
            <w:tcW w:w="1224" w:type="dxa"/>
            <w:shd w:val="clear" w:color="auto" w:fill="auto"/>
            <w:vAlign w:val="center"/>
          </w:tcPr>
          <w:p w14:paraId="76D53E1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3116F01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50556F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36A2BB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6DEF1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BEB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0ED191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dn32x3/4，外丝直接</w:t>
            </w:r>
          </w:p>
        </w:tc>
        <w:tc>
          <w:tcPr>
            <w:tcW w:w="3084" w:type="dxa"/>
            <w:shd w:val="clear" w:color="auto" w:fill="auto"/>
            <w:vAlign w:val="center"/>
          </w:tcPr>
          <w:p w14:paraId="07B313A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dn32x3/4，PN=1.6MPa，国标，全新料，嵌件材质为铜镀锌</w:t>
            </w:r>
          </w:p>
        </w:tc>
        <w:tc>
          <w:tcPr>
            <w:tcW w:w="1224" w:type="dxa"/>
            <w:shd w:val="clear" w:color="auto" w:fill="auto"/>
            <w:vAlign w:val="center"/>
          </w:tcPr>
          <w:p w14:paraId="18A3F5C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5A64F4A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48BBEC0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358203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0F783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228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43BB63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dn25x3/4，外丝直接</w:t>
            </w:r>
          </w:p>
        </w:tc>
        <w:tc>
          <w:tcPr>
            <w:tcW w:w="3084" w:type="dxa"/>
            <w:shd w:val="clear" w:color="auto" w:fill="auto"/>
            <w:vAlign w:val="center"/>
          </w:tcPr>
          <w:p w14:paraId="1A2BF49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dn25x3/4，PN=1.6MPa，国标，全新料，嵌件材质为铜镀锌</w:t>
            </w:r>
          </w:p>
        </w:tc>
        <w:tc>
          <w:tcPr>
            <w:tcW w:w="1224" w:type="dxa"/>
            <w:shd w:val="clear" w:color="auto" w:fill="auto"/>
            <w:vAlign w:val="center"/>
          </w:tcPr>
          <w:p w14:paraId="5315EF1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799EC85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5BEBDB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9B86D6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4DA6A2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68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4E26E3E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dn63x2"，内丝直接</w:t>
            </w:r>
          </w:p>
        </w:tc>
        <w:tc>
          <w:tcPr>
            <w:tcW w:w="3084" w:type="dxa"/>
            <w:shd w:val="clear" w:color="auto" w:fill="auto"/>
            <w:vAlign w:val="center"/>
          </w:tcPr>
          <w:p w14:paraId="5A494EE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dn63x2"，PN=1.6MPa，国标，全新料，嵌件材质为铜镀锌</w:t>
            </w:r>
          </w:p>
        </w:tc>
        <w:tc>
          <w:tcPr>
            <w:tcW w:w="1224" w:type="dxa"/>
            <w:shd w:val="clear" w:color="auto" w:fill="auto"/>
            <w:vAlign w:val="center"/>
          </w:tcPr>
          <w:p w14:paraId="50006DE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76F513C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75BAB9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17CA39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BC741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BF17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11664B5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dn32x1"，内丝直接</w:t>
            </w:r>
          </w:p>
        </w:tc>
        <w:tc>
          <w:tcPr>
            <w:tcW w:w="3084" w:type="dxa"/>
            <w:shd w:val="clear" w:color="auto" w:fill="auto"/>
            <w:vAlign w:val="center"/>
          </w:tcPr>
          <w:p w14:paraId="499D98B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dn32x1"，PN=1.6MPa，国标，全新料，嵌件材质为铜镀锌</w:t>
            </w:r>
          </w:p>
        </w:tc>
        <w:tc>
          <w:tcPr>
            <w:tcW w:w="1224" w:type="dxa"/>
            <w:shd w:val="clear" w:color="auto" w:fill="auto"/>
            <w:vAlign w:val="center"/>
          </w:tcPr>
          <w:p w14:paraId="7371D6C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7470372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2CBFDB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62380E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3BFA4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098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76A28C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dn32x3/4，内丝直接</w:t>
            </w:r>
          </w:p>
        </w:tc>
        <w:tc>
          <w:tcPr>
            <w:tcW w:w="3084" w:type="dxa"/>
            <w:shd w:val="clear" w:color="auto" w:fill="auto"/>
            <w:vAlign w:val="center"/>
          </w:tcPr>
          <w:p w14:paraId="3F61F39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dn32x3/4，PN=1.6MPa，国标，全新料，嵌件材质为铜镀锌</w:t>
            </w:r>
          </w:p>
        </w:tc>
        <w:tc>
          <w:tcPr>
            <w:tcW w:w="1224" w:type="dxa"/>
            <w:shd w:val="clear" w:color="auto" w:fill="auto"/>
            <w:vAlign w:val="center"/>
          </w:tcPr>
          <w:p w14:paraId="70AAE9F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0EC74DB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4D529F7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D869C9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29C24D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0F9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1D1F20B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dn25x3/4，内丝直接</w:t>
            </w:r>
          </w:p>
        </w:tc>
        <w:tc>
          <w:tcPr>
            <w:tcW w:w="3084" w:type="dxa"/>
            <w:shd w:val="clear" w:color="auto" w:fill="auto"/>
            <w:vAlign w:val="center"/>
          </w:tcPr>
          <w:p w14:paraId="0B3249E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dn25x3/4，PN=1.6MPa，国标，全新料，嵌件材质为铜镀锌</w:t>
            </w:r>
          </w:p>
        </w:tc>
        <w:tc>
          <w:tcPr>
            <w:tcW w:w="1224" w:type="dxa"/>
            <w:shd w:val="clear" w:color="auto" w:fill="auto"/>
            <w:vAlign w:val="center"/>
          </w:tcPr>
          <w:p w14:paraId="328DB34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20000</w:t>
            </w:r>
          </w:p>
        </w:tc>
        <w:tc>
          <w:tcPr>
            <w:tcW w:w="755" w:type="dxa"/>
            <w:shd w:val="clear" w:color="auto" w:fill="auto"/>
            <w:vAlign w:val="center"/>
          </w:tcPr>
          <w:p w14:paraId="19ECA82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13CD710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0D9DEBF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390E4F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CE3B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4223995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三防球墨铸铁</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井座井盖 D600mm</w:t>
            </w:r>
          </w:p>
        </w:tc>
        <w:tc>
          <w:tcPr>
            <w:tcW w:w="3084" w:type="dxa"/>
            <w:shd w:val="clear" w:color="auto" w:fill="auto"/>
            <w:vAlign w:val="center"/>
          </w:tcPr>
          <w:p w14:paraId="725128A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D600方形铸铁材质,重载型（60T)、三防球墨铸铁井盖井座</w:t>
            </w:r>
          </w:p>
        </w:tc>
        <w:tc>
          <w:tcPr>
            <w:tcW w:w="1224" w:type="dxa"/>
            <w:shd w:val="clear" w:color="auto" w:fill="auto"/>
            <w:vAlign w:val="center"/>
          </w:tcPr>
          <w:p w14:paraId="2497ACD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400</w:t>
            </w:r>
          </w:p>
        </w:tc>
        <w:tc>
          <w:tcPr>
            <w:tcW w:w="755" w:type="dxa"/>
            <w:shd w:val="clear" w:color="auto" w:fill="auto"/>
            <w:vAlign w:val="center"/>
          </w:tcPr>
          <w:p w14:paraId="745E4E1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045" w:type="dxa"/>
            <w:shd w:val="clear" w:color="auto" w:fill="auto"/>
            <w:vAlign w:val="center"/>
          </w:tcPr>
          <w:p w14:paraId="0A4B32F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16B88F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66FFD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410D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80BD6D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三防球墨铸铁</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井座井盖 D700mm</w:t>
            </w:r>
          </w:p>
        </w:tc>
        <w:tc>
          <w:tcPr>
            <w:tcW w:w="3084" w:type="dxa"/>
            <w:shd w:val="clear" w:color="auto" w:fill="auto"/>
            <w:vAlign w:val="center"/>
          </w:tcPr>
          <w:p w14:paraId="34FA874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D700圆形铸铁材质，重载型（60T)、三防球墨铸铁井盖井座</w:t>
            </w:r>
          </w:p>
        </w:tc>
        <w:tc>
          <w:tcPr>
            <w:tcW w:w="1224" w:type="dxa"/>
            <w:shd w:val="clear" w:color="auto" w:fill="auto"/>
            <w:vAlign w:val="center"/>
          </w:tcPr>
          <w:p w14:paraId="76187EB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400</w:t>
            </w:r>
          </w:p>
        </w:tc>
        <w:tc>
          <w:tcPr>
            <w:tcW w:w="755" w:type="dxa"/>
            <w:shd w:val="clear" w:color="auto" w:fill="auto"/>
            <w:vAlign w:val="center"/>
          </w:tcPr>
          <w:p w14:paraId="7D7EA87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045" w:type="dxa"/>
            <w:shd w:val="clear" w:color="auto" w:fill="auto"/>
            <w:vAlign w:val="center"/>
          </w:tcPr>
          <w:p w14:paraId="569237E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C55F2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07C9F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4EE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A2A9F3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标识砖</w:t>
            </w:r>
          </w:p>
        </w:tc>
        <w:tc>
          <w:tcPr>
            <w:tcW w:w="3084" w:type="dxa"/>
            <w:shd w:val="clear" w:color="auto" w:fill="auto"/>
            <w:vAlign w:val="center"/>
          </w:tcPr>
          <w:p w14:paraId="4694F02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材质为瓷质砖，尺寸为300*95*10mm</w:t>
            </w:r>
          </w:p>
        </w:tc>
        <w:tc>
          <w:tcPr>
            <w:tcW w:w="1224" w:type="dxa"/>
            <w:shd w:val="clear" w:color="auto" w:fill="auto"/>
            <w:vAlign w:val="center"/>
          </w:tcPr>
          <w:p w14:paraId="1951DCD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20000</w:t>
            </w:r>
          </w:p>
        </w:tc>
        <w:tc>
          <w:tcPr>
            <w:tcW w:w="755" w:type="dxa"/>
            <w:shd w:val="clear" w:color="auto" w:fill="auto"/>
            <w:vAlign w:val="center"/>
          </w:tcPr>
          <w:p w14:paraId="3A5DCB7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045" w:type="dxa"/>
            <w:shd w:val="clear" w:color="auto" w:fill="auto"/>
            <w:vAlign w:val="center"/>
          </w:tcPr>
          <w:p w14:paraId="0595FF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AAB0F4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7C6BC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1FE7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1E0236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标志桩</w:t>
            </w:r>
          </w:p>
        </w:tc>
        <w:tc>
          <w:tcPr>
            <w:tcW w:w="3084" w:type="dxa"/>
            <w:shd w:val="clear" w:color="auto" w:fill="auto"/>
            <w:vAlign w:val="center"/>
          </w:tcPr>
          <w:p w14:paraId="7E7951E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材质为玻璃钢复合材料，尺寸为10*10*100cm</w:t>
            </w:r>
          </w:p>
        </w:tc>
        <w:tc>
          <w:tcPr>
            <w:tcW w:w="1224" w:type="dxa"/>
            <w:shd w:val="clear" w:color="auto" w:fill="auto"/>
            <w:vAlign w:val="center"/>
          </w:tcPr>
          <w:p w14:paraId="5212446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10000</w:t>
            </w:r>
          </w:p>
        </w:tc>
        <w:tc>
          <w:tcPr>
            <w:tcW w:w="755" w:type="dxa"/>
            <w:shd w:val="clear" w:color="auto" w:fill="auto"/>
            <w:vAlign w:val="center"/>
          </w:tcPr>
          <w:p w14:paraId="346F0CB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045" w:type="dxa"/>
            <w:shd w:val="clear" w:color="auto" w:fill="auto"/>
            <w:vAlign w:val="center"/>
          </w:tcPr>
          <w:p w14:paraId="0159FD4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A8249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86DCC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1FA0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B3C2E9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32钢钉卡</w:t>
            </w:r>
          </w:p>
        </w:tc>
        <w:tc>
          <w:tcPr>
            <w:tcW w:w="3084" w:type="dxa"/>
            <w:shd w:val="clear" w:color="auto" w:fill="auto"/>
            <w:vAlign w:val="center"/>
          </w:tcPr>
          <w:p w14:paraId="6198A8C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钢钉材质为钢质，钉子长度57mm，外圈材质为塑料，尺寸内径DN32</w:t>
            </w:r>
          </w:p>
        </w:tc>
        <w:tc>
          <w:tcPr>
            <w:tcW w:w="1224" w:type="dxa"/>
            <w:shd w:val="clear" w:color="auto" w:fill="auto"/>
            <w:vAlign w:val="center"/>
          </w:tcPr>
          <w:p w14:paraId="273D96B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250000</w:t>
            </w:r>
          </w:p>
        </w:tc>
        <w:tc>
          <w:tcPr>
            <w:tcW w:w="755" w:type="dxa"/>
            <w:shd w:val="clear" w:color="auto" w:fill="auto"/>
            <w:vAlign w:val="center"/>
          </w:tcPr>
          <w:p w14:paraId="33B6C23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395E9D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7AE9B6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088BA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DD03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A5B523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25钢钉卡</w:t>
            </w:r>
          </w:p>
        </w:tc>
        <w:tc>
          <w:tcPr>
            <w:tcW w:w="3084" w:type="dxa"/>
            <w:shd w:val="clear" w:color="auto" w:fill="auto"/>
            <w:vAlign w:val="center"/>
          </w:tcPr>
          <w:p w14:paraId="1586B9E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钢钉材质为钢质，钉子长度45mm，外圈材质为塑料，尺寸内径DN25</w:t>
            </w:r>
          </w:p>
        </w:tc>
        <w:tc>
          <w:tcPr>
            <w:tcW w:w="1224" w:type="dxa"/>
            <w:shd w:val="clear" w:color="auto" w:fill="auto"/>
            <w:vAlign w:val="center"/>
          </w:tcPr>
          <w:p w14:paraId="66D84E4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250000</w:t>
            </w:r>
          </w:p>
        </w:tc>
        <w:tc>
          <w:tcPr>
            <w:tcW w:w="755" w:type="dxa"/>
            <w:shd w:val="clear" w:color="auto" w:fill="auto"/>
            <w:vAlign w:val="center"/>
          </w:tcPr>
          <w:p w14:paraId="10E3CAB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045" w:type="dxa"/>
            <w:shd w:val="clear" w:color="auto" w:fill="auto"/>
            <w:vAlign w:val="center"/>
          </w:tcPr>
          <w:p w14:paraId="5B842F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1EACBC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DC103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CC9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77DD83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25棒棒卡</w:t>
            </w:r>
          </w:p>
        </w:tc>
        <w:tc>
          <w:tcPr>
            <w:tcW w:w="3084" w:type="dxa"/>
            <w:shd w:val="clear" w:color="auto" w:fill="auto"/>
            <w:vAlign w:val="center"/>
          </w:tcPr>
          <w:p w14:paraId="66895F7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外部材质为PVC,内部为钢质，dn25，长度为新型加长一体卡</w:t>
            </w:r>
          </w:p>
        </w:tc>
        <w:tc>
          <w:tcPr>
            <w:tcW w:w="1224" w:type="dxa"/>
            <w:shd w:val="clear" w:color="auto" w:fill="auto"/>
            <w:vAlign w:val="center"/>
          </w:tcPr>
          <w:p w14:paraId="4F03120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1DF21BF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4FD77F4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9F30F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81E2B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DF4C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96D9DB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法兰</w:t>
            </w:r>
          </w:p>
        </w:tc>
        <w:tc>
          <w:tcPr>
            <w:tcW w:w="3084" w:type="dxa"/>
            <w:shd w:val="clear" w:color="auto" w:fill="auto"/>
            <w:vAlign w:val="center"/>
          </w:tcPr>
          <w:p w14:paraId="78723ED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尺寸为外径dn63 、材质为碳钢法兰片、加厚、防腐，法兰片带法兰头</w:t>
            </w:r>
          </w:p>
        </w:tc>
        <w:tc>
          <w:tcPr>
            <w:tcW w:w="1224" w:type="dxa"/>
            <w:shd w:val="clear" w:color="auto" w:fill="auto"/>
            <w:vAlign w:val="center"/>
          </w:tcPr>
          <w:p w14:paraId="357C509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1500</w:t>
            </w:r>
          </w:p>
        </w:tc>
        <w:tc>
          <w:tcPr>
            <w:tcW w:w="755" w:type="dxa"/>
            <w:shd w:val="clear" w:color="auto" w:fill="auto"/>
            <w:vAlign w:val="center"/>
          </w:tcPr>
          <w:p w14:paraId="06FCC0D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045" w:type="dxa"/>
            <w:shd w:val="clear" w:color="auto" w:fill="auto"/>
            <w:vAlign w:val="center"/>
          </w:tcPr>
          <w:p w14:paraId="5FF2B4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5363C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3C2BE8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FC4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ADF224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法兰</w:t>
            </w:r>
          </w:p>
        </w:tc>
        <w:tc>
          <w:tcPr>
            <w:tcW w:w="3084" w:type="dxa"/>
            <w:shd w:val="clear" w:color="auto" w:fill="auto"/>
            <w:vAlign w:val="center"/>
          </w:tcPr>
          <w:p w14:paraId="6CA0093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尺寸为外径dn110 、材质为碳钢法兰片、加厚、防腐，法兰片带法兰头</w:t>
            </w:r>
          </w:p>
        </w:tc>
        <w:tc>
          <w:tcPr>
            <w:tcW w:w="1224" w:type="dxa"/>
            <w:shd w:val="clear" w:color="auto" w:fill="auto"/>
            <w:vAlign w:val="center"/>
          </w:tcPr>
          <w:p w14:paraId="79B8B37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1500</w:t>
            </w:r>
          </w:p>
        </w:tc>
        <w:tc>
          <w:tcPr>
            <w:tcW w:w="755" w:type="dxa"/>
            <w:shd w:val="clear" w:color="auto" w:fill="auto"/>
            <w:vAlign w:val="center"/>
          </w:tcPr>
          <w:p w14:paraId="22A64FF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045" w:type="dxa"/>
            <w:shd w:val="clear" w:color="auto" w:fill="auto"/>
            <w:vAlign w:val="center"/>
          </w:tcPr>
          <w:p w14:paraId="5285A1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A1AD24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3EBE8A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B02A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3DC7DB8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DN50橡胶垫</w:t>
            </w:r>
          </w:p>
        </w:tc>
        <w:tc>
          <w:tcPr>
            <w:tcW w:w="3084" w:type="dxa"/>
            <w:shd w:val="clear" w:color="auto" w:fill="auto"/>
            <w:vAlign w:val="center"/>
          </w:tcPr>
          <w:p w14:paraId="25C4546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材质为橡胶，内径为DN50外径为dn63，加厚型</w:t>
            </w:r>
          </w:p>
        </w:tc>
        <w:tc>
          <w:tcPr>
            <w:tcW w:w="1224" w:type="dxa"/>
            <w:shd w:val="clear" w:color="auto" w:fill="auto"/>
            <w:vAlign w:val="center"/>
          </w:tcPr>
          <w:p w14:paraId="048ADD4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1500</w:t>
            </w:r>
          </w:p>
        </w:tc>
        <w:tc>
          <w:tcPr>
            <w:tcW w:w="755" w:type="dxa"/>
            <w:shd w:val="clear" w:color="auto" w:fill="auto"/>
            <w:vAlign w:val="center"/>
          </w:tcPr>
          <w:p w14:paraId="06AAF41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EC1BF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DA0DD6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8A736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846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6640A1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封口胶</w:t>
            </w:r>
          </w:p>
        </w:tc>
        <w:tc>
          <w:tcPr>
            <w:tcW w:w="3084" w:type="dxa"/>
            <w:shd w:val="clear" w:color="auto" w:fill="auto"/>
            <w:vAlign w:val="center"/>
          </w:tcPr>
          <w:p w14:paraId="531EABA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材质为透明胶带，厚22mm、宽47mm</w:t>
            </w:r>
          </w:p>
        </w:tc>
        <w:tc>
          <w:tcPr>
            <w:tcW w:w="1224" w:type="dxa"/>
            <w:shd w:val="clear" w:color="auto" w:fill="auto"/>
            <w:vAlign w:val="center"/>
          </w:tcPr>
          <w:p w14:paraId="792175A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155000</w:t>
            </w:r>
          </w:p>
        </w:tc>
        <w:tc>
          <w:tcPr>
            <w:tcW w:w="755" w:type="dxa"/>
            <w:shd w:val="clear" w:color="auto" w:fill="auto"/>
            <w:vAlign w:val="center"/>
          </w:tcPr>
          <w:p w14:paraId="5496063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米</w:t>
            </w:r>
          </w:p>
        </w:tc>
        <w:tc>
          <w:tcPr>
            <w:tcW w:w="1045" w:type="dxa"/>
            <w:shd w:val="clear" w:color="auto" w:fill="auto"/>
            <w:vAlign w:val="center"/>
          </w:tcPr>
          <w:p w14:paraId="190CB4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146F5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0AF903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0DC3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3DBE06E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dn63管帽</w:t>
            </w:r>
          </w:p>
        </w:tc>
        <w:tc>
          <w:tcPr>
            <w:tcW w:w="3084" w:type="dxa"/>
            <w:shd w:val="clear" w:color="auto" w:fill="auto"/>
            <w:vAlign w:val="center"/>
          </w:tcPr>
          <w:p w14:paraId="0DBF3FD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dn63，PN=1.6MPa，国标，全新料</w:t>
            </w:r>
          </w:p>
        </w:tc>
        <w:tc>
          <w:tcPr>
            <w:tcW w:w="1224" w:type="dxa"/>
            <w:shd w:val="clear" w:color="auto" w:fill="auto"/>
            <w:vAlign w:val="center"/>
          </w:tcPr>
          <w:p w14:paraId="6C62EC5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2000</w:t>
            </w:r>
          </w:p>
        </w:tc>
        <w:tc>
          <w:tcPr>
            <w:tcW w:w="755" w:type="dxa"/>
            <w:shd w:val="clear" w:color="auto" w:fill="auto"/>
            <w:vAlign w:val="center"/>
          </w:tcPr>
          <w:p w14:paraId="47CB235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C369D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1BCA8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4FD0C1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5FB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3BC0A02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dn25管帽</w:t>
            </w:r>
          </w:p>
        </w:tc>
        <w:tc>
          <w:tcPr>
            <w:tcW w:w="3084" w:type="dxa"/>
            <w:shd w:val="clear" w:color="auto" w:fill="auto"/>
            <w:vAlign w:val="center"/>
          </w:tcPr>
          <w:p w14:paraId="58FEF47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dn25，PN=1.6MPa，国标，全新料</w:t>
            </w:r>
          </w:p>
        </w:tc>
        <w:tc>
          <w:tcPr>
            <w:tcW w:w="1224" w:type="dxa"/>
            <w:shd w:val="clear" w:color="auto" w:fill="auto"/>
            <w:vAlign w:val="center"/>
          </w:tcPr>
          <w:p w14:paraId="194C8C2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4CC7D14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3B2E28A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825D49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425F0E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340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19FCD9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dn63电熔直接</w:t>
            </w:r>
          </w:p>
        </w:tc>
        <w:tc>
          <w:tcPr>
            <w:tcW w:w="3084" w:type="dxa"/>
            <w:shd w:val="clear" w:color="auto" w:fill="auto"/>
            <w:vAlign w:val="center"/>
          </w:tcPr>
          <w:p w14:paraId="09EEFA3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dn63，PN=1.6MPa，国标，全新料</w:t>
            </w:r>
          </w:p>
        </w:tc>
        <w:tc>
          <w:tcPr>
            <w:tcW w:w="1224" w:type="dxa"/>
            <w:shd w:val="clear" w:color="auto" w:fill="auto"/>
            <w:vAlign w:val="center"/>
          </w:tcPr>
          <w:p w14:paraId="1346924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7ECB7D6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5CB80B5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DC4248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2D175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20D9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EFEBE7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dn63电熔弯头</w:t>
            </w:r>
          </w:p>
        </w:tc>
        <w:tc>
          <w:tcPr>
            <w:tcW w:w="3084" w:type="dxa"/>
            <w:shd w:val="clear" w:color="auto" w:fill="auto"/>
            <w:vAlign w:val="center"/>
          </w:tcPr>
          <w:p w14:paraId="0F8B2C4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dn63，PN=1.6MPa，国标，全新料</w:t>
            </w:r>
          </w:p>
        </w:tc>
        <w:tc>
          <w:tcPr>
            <w:tcW w:w="1224" w:type="dxa"/>
            <w:shd w:val="clear" w:color="auto" w:fill="auto"/>
            <w:vAlign w:val="center"/>
          </w:tcPr>
          <w:p w14:paraId="27F10CD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0E59C3A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323AE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27F0DC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A3A67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8AB1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619221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dn63电熔三通（正三通）</w:t>
            </w:r>
          </w:p>
        </w:tc>
        <w:tc>
          <w:tcPr>
            <w:tcW w:w="3084" w:type="dxa"/>
            <w:shd w:val="clear" w:color="auto" w:fill="auto"/>
            <w:vAlign w:val="center"/>
          </w:tcPr>
          <w:p w14:paraId="70FCDAF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dn63，PN=1.6MPa，国标，全新料</w:t>
            </w:r>
          </w:p>
        </w:tc>
        <w:tc>
          <w:tcPr>
            <w:tcW w:w="1224" w:type="dxa"/>
            <w:shd w:val="clear" w:color="auto" w:fill="auto"/>
            <w:vAlign w:val="center"/>
          </w:tcPr>
          <w:p w14:paraId="1016F07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4EE283B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63522C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38BEA1F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1246A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1773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0703DA8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dn63x32电熔三通</w:t>
            </w:r>
          </w:p>
        </w:tc>
        <w:tc>
          <w:tcPr>
            <w:tcW w:w="3084" w:type="dxa"/>
            <w:shd w:val="clear" w:color="auto" w:fill="auto"/>
            <w:vAlign w:val="center"/>
          </w:tcPr>
          <w:p w14:paraId="727180D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dn63x32，PN=1.6MPa，国标，全新料</w:t>
            </w:r>
          </w:p>
        </w:tc>
        <w:tc>
          <w:tcPr>
            <w:tcW w:w="1224" w:type="dxa"/>
            <w:shd w:val="clear" w:color="auto" w:fill="auto"/>
            <w:vAlign w:val="center"/>
          </w:tcPr>
          <w:p w14:paraId="5A279EF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620C4F2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27174CB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1A19E6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0FC03E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D71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450E84A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16*70六角头螺栓</w:t>
            </w:r>
          </w:p>
        </w:tc>
        <w:tc>
          <w:tcPr>
            <w:tcW w:w="3084" w:type="dxa"/>
            <w:shd w:val="clear" w:color="auto" w:fill="auto"/>
            <w:vAlign w:val="center"/>
          </w:tcPr>
          <w:p w14:paraId="63312E8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16*70，外层镀锌</w:t>
            </w:r>
          </w:p>
        </w:tc>
        <w:tc>
          <w:tcPr>
            <w:tcW w:w="1224" w:type="dxa"/>
            <w:shd w:val="clear" w:color="auto" w:fill="auto"/>
            <w:vAlign w:val="center"/>
          </w:tcPr>
          <w:p w14:paraId="1185EA4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9000</w:t>
            </w:r>
          </w:p>
        </w:tc>
        <w:tc>
          <w:tcPr>
            <w:tcW w:w="755" w:type="dxa"/>
            <w:shd w:val="clear" w:color="auto" w:fill="auto"/>
            <w:vAlign w:val="center"/>
          </w:tcPr>
          <w:p w14:paraId="10C575E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045" w:type="dxa"/>
            <w:shd w:val="clear" w:color="auto" w:fill="auto"/>
            <w:vAlign w:val="center"/>
          </w:tcPr>
          <w:p w14:paraId="580337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F6973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4737CB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896F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8EABD3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dn63*32分水鞍</w:t>
            </w:r>
          </w:p>
        </w:tc>
        <w:tc>
          <w:tcPr>
            <w:tcW w:w="3084" w:type="dxa"/>
            <w:shd w:val="clear" w:color="auto" w:fill="auto"/>
            <w:vAlign w:val="center"/>
          </w:tcPr>
          <w:p w14:paraId="0FC46A2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dn63*32，材质为球墨铸铁，材料为全新料，增加防锈防腐工艺处理</w:t>
            </w:r>
          </w:p>
        </w:tc>
        <w:tc>
          <w:tcPr>
            <w:tcW w:w="1224" w:type="dxa"/>
            <w:shd w:val="clear" w:color="auto" w:fill="auto"/>
            <w:vAlign w:val="center"/>
          </w:tcPr>
          <w:p w14:paraId="1A6FA1A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w:t>
            </w:r>
          </w:p>
        </w:tc>
        <w:tc>
          <w:tcPr>
            <w:tcW w:w="755" w:type="dxa"/>
            <w:shd w:val="clear" w:color="auto" w:fill="auto"/>
            <w:vAlign w:val="center"/>
          </w:tcPr>
          <w:p w14:paraId="59EE9E1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3DE1B2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013FCCC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F750E94">
            <w:pPr>
              <w:keepNext w:val="0"/>
              <w:keepLines w:val="0"/>
              <w:widowControl/>
              <w:suppressLineNumbers w:val="0"/>
              <w:jc w:val="center"/>
              <w:textAlignment w:val="center"/>
              <w:rPr>
                <w:rFonts w:hint="eastAsia" w:hAnsi="宋体" w:cs="宋体"/>
                <w:i w:val="0"/>
                <w:iCs w:val="0"/>
                <w:color w:val="000000"/>
                <w:sz w:val="21"/>
                <w:szCs w:val="21"/>
                <w:u w:val="none"/>
                <w:lang w:val="en-US" w:eastAsia="zh-CN" w:bidi="ar-SA"/>
              </w:rPr>
            </w:pPr>
          </w:p>
        </w:tc>
      </w:tr>
      <w:tr w14:paraId="5F047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040727B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dn90*63分水鞍</w:t>
            </w:r>
          </w:p>
        </w:tc>
        <w:tc>
          <w:tcPr>
            <w:tcW w:w="3084" w:type="dxa"/>
            <w:shd w:val="clear" w:color="auto" w:fill="auto"/>
            <w:vAlign w:val="center"/>
          </w:tcPr>
          <w:p w14:paraId="250938D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dn90*63，材质为球墨铸铁材料为全新料，增加防锈防腐工艺处理</w:t>
            </w:r>
          </w:p>
        </w:tc>
        <w:tc>
          <w:tcPr>
            <w:tcW w:w="1224" w:type="dxa"/>
            <w:shd w:val="clear" w:color="auto" w:fill="auto"/>
            <w:vAlign w:val="center"/>
          </w:tcPr>
          <w:p w14:paraId="7DE7A56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w:t>
            </w:r>
          </w:p>
        </w:tc>
        <w:tc>
          <w:tcPr>
            <w:tcW w:w="755" w:type="dxa"/>
            <w:shd w:val="clear" w:color="auto" w:fill="auto"/>
            <w:vAlign w:val="center"/>
          </w:tcPr>
          <w:p w14:paraId="26534DC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4224E26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514F6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2B94B4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E4A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024A768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dn110*63分水鞍</w:t>
            </w:r>
          </w:p>
        </w:tc>
        <w:tc>
          <w:tcPr>
            <w:tcW w:w="3084" w:type="dxa"/>
            <w:shd w:val="clear" w:color="auto" w:fill="auto"/>
            <w:vAlign w:val="center"/>
          </w:tcPr>
          <w:p w14:paraId="3901C95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dn110*63，材质为球墨铸铁材料为全新料，增加防锈防腐工艺处理</w:t>
            </w:r>
          </w:p>
        </w:tc>
        <w:tc>
          <w:tcPr>
            <w:tcW w:w="1224" w:type="dxa"/>
            <w:shd w:val="clear" w:color="auto" w:fill="auto"/>
            <w:vAlign w:val="center"/>
          </w:tcPr>
          <w:p w14:paraId="58E7FD5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w:t>
            </w:r>
          </w:p>
        </w:tc>
        <w:tc>
          <w:tcPr>
            <w:tcW w:w="755" w:type="dxa"/>
            <w:shd w:val="clear" w:color="auto" w:fill="auto"/>
            <w:vAlign w:val="center"/>
          </w:tcPr>
          <w:p w14:paraId="7493A2F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6F775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2EF7695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A5AF0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34F2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690D66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dn160*50分水鞍</w:t>
            </w:r>
          </w:p>
        </w:tc>
        <w:tc>
          <w:tcPr>
            <w:tcW w:w="3084" w:type="dxa"/>
            <w:shd w:val="clear" w:color="auto" w:fill="auto"/>
            <w:vAlign w:val="center"/>
          </w:tcPr>
          <w:p w14:paraId="34904B8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dn160*50，材质为球墨铸铁材料为全新料，增加防锈防腐工艺处理</w:t>
            </w:r>
          </w:p>
        </w:tc>
        <w:tc>
          <w:tcPr>
            <w:tcW w:w="1224" w:type="dxa"/>
            <w:shd w:val="clear" w:color="auto" w:fill="auto"/>
            <w:vAlign w:val="center"/>
          </w:tcPr>
          <w:p w14:paraId="3CDA49A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w:t>
            </w:r>
          </w:p>
        </w:tc>
        <w:tc>
          <w:tcPr>
            <w:tcW w:w="755" w:type="dxa"/>
            <w:shd w:val="clear" w:color="auto" w:fill="auto"/>
            <w:vAlign w:val="center"/>
          </w:tcPr>
          <w:p w14:paraId="06A1129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61B5A2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0A0F91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2409C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38BF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249E59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dn160*110分水鞍</w:t>
            </w:r>
          </w:p>
        </w:tc>
        <w:tc>
          <w:tcPr>
            <w:tcW w:w="3084" w:type="dxa"/>
            <w:shd w:val="clear" w:color="auto" w:fill="auto"/>
            <w:vAlign w:val="center"/>
          </w:tcPr>
          <w:p w14:paraId="4F110F3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dn160*110，材质为球墨铸铁材料为全新料，增加防锈防腐工艺处理</w:t>
            </w:r>
          </w:p>
        </w:tc>
        <w:tc>
          <w:tcPr>
            <w:tcW w:w="1224" w:type="dxa"/>
            <w:shd w:val="clear" w:color="auto" w:fill="auto"/>
            <w:vAlign w:val="center"/>
          </w:tcPr>
          <w:p w14:paraId="252BC8D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w:t>
            </w:r>
          </w:p>
        </w:tc>
        <w:tc>
          <w:tcPr>
            <w:tcW w:w="755" w:type="dxa"/>
            <w:shd w:val="clear" w:color="auto" w:fill="auto"/>
            <w:vAlign w:val="center"/>
          </w:tcPr>
          <w:p w14:paraId="06303D1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85CF14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3E2E7B9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F47B04B">
            <w:pPr>
              <w:keepNext w:val="0"/>
              <w:keepLines w:val="0"/>
              <w:widowControl/>
              <w:suppressLineNumbers w:val="0"/>
              <w:jc w:val="center"/>
              <w:textAlignment w:val="center"/>
              <w:rPr>
                <w:rFonts w:hint="eastAsia" w:hAnsi="宋体" w:cs="宋体"/>
                <w:i w:val="0"/>
                <w:iCs w:val="0"/>
                <w:color w:val="000000"/>
                <w:sz w:val="21"/>
                <w:szCs w:val="21"/>
                <w:u w:val="none"/>
                <w:lang w:val="en-US" w:eastAsia="zh-CN" w:bidi="ar-SA"/>
              </w:rPr>
            </w:pPr>
          </w:p>
        </w:tc>
      </w:tr>
      <w:tr w14:paraId="60936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1C1A6D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Y-100 M20*1.5 1.6MP压力表</w:t>
            </w:r>
          </w:p>
        </w:tc>
        <w:tc>
          <w:tcPr>
            <w:tcW w:w="3084" w:type="dxa"/>
            <w:shd w:val="clear" w:color="auto" w:fill="auto"/>
            <w:vAlign w:val="center"/>
          </w:tcPr>
          <w:p w14:paraId="4A27871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Y-100 M20*1.5 1.6MP，带弯管</w:t>
            </w:r>
          </w:p>
        </w:tc>
        <w:tc>
          <w:tcPr>
            <w:tcW w:w="1224" w:type="dxa"/>
            <w:shd w:val="clear" w:color="auto" w:fill="auto"/>
            <w:vAlign w:val="center"/>
          </w:tcPr>
          <w:p w14:paraId="64BDCE6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800</w:t>
            </w:r>
          </w:p>
        </w:tc>
        <w:tc>
          <w:tcPr>
            <w:tcW w:w="755" w:type="dxa"/>
            <w:shd w:val="clear" w:color="auto" w:fill="auto"/>
            <w:vAlign w:val="center"/>
          </w:tcPr>
          <w:p w14:paraId="421D6C0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045" w:type="dxa"/>
            <w:shd w:val="clear" w:color="auto" w:fill="auto"/>
            <w:vAlign w:val="center"/>
          </w:tcPr>
          <w:p w14:paraId="6078C59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D30B31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2CDBEBDF">
            <w:pPr>
              <w:keepNext w:val="0"/>
              <w:keepLines w:val="0"/>
              <w:widowControl/>
              <w:suppressLineNumbers w:val="0"/>
              <w:jc w:val="center"/>
              <w:textAlignment w:val="center"/>
              <w:rPr>
                <w:rFonts w:hint="eastAsia" w:hAnsi="宋体" w:cs="宋体"/>
                <w:i w:val="0"/>
                <w:iCs w:val="0"/>
                <w:color w:val="000000"/>
                <w:sz w:val="21"/>
                <w:szCs w:val="21"/>
                <w:u w:val="none"/>
                <w:lang w:val="en-US" w:eastAsia="zh-CN" w:bidi="ar-SA"/>
              </w:rPr>
            </w:pPr>
          </w:p>
        </w:tc>
      </w:tr>
      <w:tr w14:paraId="1AA3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6ABF47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DN110给水涂塑复合钢管</w:t>
            </w:r>
          </w:p>
        </w:tc>
        <w:tc>
          <w:tcPr>
            <w:tcW w:w="3084" w:type="dxa"/>
            <w:shd w:val="clear" w:color="auto" w:fill="auto"/>
            <w:vAlign w:val="center"/>
          </w:tcPr>
          <w:p w14:paraId="6546F10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DN110</w:t>
            </w:r>
          </w:p>
        </w:tc>
        <w:tc>
          <w:tcPr>
            <w:tcW w:w="1224" w:type="dxa"/>
            <w:shd w:val="clear" w:color="auto" w:fill="auto"/>
            <w:vAlign w:val="center"/>
          </w:tcPr>
          <w:p w14:paraId="61C2DC9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4F37AD6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米</w:t>
            </w:r>
          </w:p>
        </w:tc>
        <w:tc>
          <w:tcPr>
            <w:tcW w:w="1045" w:type="dxa"/>
            <w:shd w:val="clear" w:color="auto" w:fill="auto"/>
            <w:vAlign w:val="center"/>
          </w:tcPr>
          <w:p w14:paraId="31EA58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DC484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0D87E0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C6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4A42E5C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DN63给水涂塑复合钢管</w:t>
            </w:r>
          </w:p>
        </w:tc>
        <w:tc>
          <w:tcPr>
            <w:tcW w:w="3084" w:type="dxa"/>
            <w:shd w:val="clear" w:color="auto" w:fill="auto"/>
            <w:vAlign w:val="center"/>
          </w:tcPr>
          <w:p w14:paraId="508D74E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DN63</w:t>
            </w:r>
          </w:p>
        </w:tc>
        <w:tc>
          <w:tcPr>
            <w:tcW w:w="1224" w:type="dxa"/>
            <w:shd w:val="clear" w:color="auto" w:fill="auto"/>
            <w:vAlign w:val="center"/>
          </w:tcPr>
          <w:p w14:paraId="167B66B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3000</w:t>
            </w:r>
          </w:p>
        </w:tc>
        <w:tc>
          <w:tcPr>
            <w:tcW w:w="755" w:type="dxa"/>
            <w:shd w:val="clear" w:color="auto" w:fill="auto"/>
            <w:vAlign w:val="center"/>
          </w:tcPr>
          <w:p w14:paraId="69329BC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米</w:t>
            </w:r>
          </w:p>
        </w:tc>
        <w:tc>
          <w:tcPr>
            <w:tcW w:w="1045" w:type="dxa"/>
            <w:shd w:val="clear" w:color="auto" w:fill="auto"/>
            <w:vAlign w:val="center"/>
          </w:tcPr>
          <w:p w14:paraId="1608EC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6AA36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EE0FE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C0A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C8D1BA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DN32给水涂塑复合钢管</w:t>
            </w:r>
          </w:p>
        </w:tc>
        <w:tc>
          <w:tcPr>
            <w:tcW w:w="3084" w:type="dxa"/>
            <w:shd w:val="clear" w:color="auto" w:fill="auto"/>
            <w:vAlign w:val="center"/>
          </w:tcPr>
          <w:p w14:paraId="450EFD9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DN32</w:t>
            </w:r>
          </w:p>
        </w:tc>
        <w:tc>
          <w:tcPr>
            <w:tcW w:w="1224" w:type="dxa"/>
            <w:shd w:val="clear" w:color="auto" w:fill="auto"/>
            <w:vAlign w:val="center"/>
          </w:tcPr>
          <w:p w14:paraId="70DAC2E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3000</w:t>
            </w:r>
          </w:p>
        </w:tc>
        <w:tc>
          <w:tcPr>
            <w:tcW w:w="755" w:type="dxa"/>
            <w:shd w:val="clear" w:color="auto" w:fill="auto"/>
            <w:vAlign w:val="center"/>
          </w:tcPr>
          <w:p w14:paraId="4C64728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米</w:t>
            </w:r>
          </w:p>
        </w:tc>
        <w:tc>
          <w:tcPr>
            <w:tcW w:w="1045" w:type="dxa"/>
            <w:shd w:val="clear" w:color="auto" w:fill="auto"/>
            <w:vAlign w:val="center"/>
          </w:tcPr>
          <w:p w14:paraId="00B716D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4BFAA6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C7260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F61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0524FA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DN25给水涂塑复合钢管</w:t>
            </w:r>
          </w:p>
        </w:tc>
        <w:tc>
          <w:tcPr>
            <w:tcW w:w="3084" w:type="dxa"/>
            <w:shd w:val="clear" w:color="auto" w:fill="auto"/>
            <w:vAlign w:val="center"/>
          </w:tcPr>
          <w:p w14:paraId="4E30D5E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w:t>
            </w:r>
          </w:p>
        </w:tc>
        <w:tc>
          <w:tcPr>
            <w:tcW w:w="1224" w:type="dxa"/>
            <w:shd w:val="clear" w:color="auto" w:fill="auto"/>
            <w:vAlign w:val="center"/>
          </w:tcPr>
          <w:p w14:paraId="695D90B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4000</w:t>
            </w:r>
          </w:p>
        </w:tc>
        <w:tc>
          <w:tcPr>
            <w:tcW w:w="755" w:type="dxa"/>
            <w:shd w:val="clear" w:color="auto" w:fill="auto"/>
            <w:vAlign w:val="center"/>
          </w:tcPr>
          <w:p w14:paraId="33FD3FE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米</w:t>
            </w:r>
          </w:p>
        </w:tc>
        <w:tc>
          <w:tcPr>
            <w:tcW w:w="1045" w:type="dxa"/>
            <w:shd w:val="clear" w:color="auto" w:fill="auto"/>
            <w:vAlign w:val="center"/>
          </w:tcPr>
          <w:p w14:paraId="162D024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6625E87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F3A9B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E14E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2D69749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涂塑复合DN50*25内丝直接</w:t>
            </w:r>
          </w:p>
        </w:tc>
        <w:tc>
          <w:tcPr>
            <w:tcW w:w="3084" w:type="dxa"/>
            <w:shd w:val="clear" w:color="auto" w:fill="auto"/>
            <w:vAlign w:val="center"/>
          </w:tcPr>
          <w:p w14:paraId="03BF17D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DN50*25</w:t>
            </w:r>
          </w:p>
        </w:tc>
        <w:tc>
          <w:tcPr>
            <w:tcW w:w="1224" w:type="dxa"/>
            <w:shd w:val="clear" w:color="auto" w:fill="auto"/>
            <w:vAlign w:val="center"/>
          </w:tcPr>
          <w:p w14:paraId="2C27643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67BD5D2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0502F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F5AAAD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69760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7FB7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F9D38A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涂塑复合DN50内丝直接</w:t>
            </w:r>
          </w:p>
        </w:tc>
        <w:tc>
          <w:tcPr>
            <w:tcW w:w="3084" w:type="dxa"/>
            <w:shd w:val="clear" w:color="auto" w:fill="auto"/>
            <w:vAlign w:val="center"/>
          </w:tcPr>
          <w:p w14:paraId="0C18351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DN50</w:t>
            </w:r>
          </w:p>
        </w:tc>
        <w:tc>
          <w:tcPr>
            <w:tcW w:w="1224" w:type="dxa"/>
            <w:shd w:val="clear" w:color="auto" w:fill="auto"/>
            <w:vAlign w:val="center"/>
          </w:tcPr>
          <w:p w14:paraId="6CBEF67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0DA54B9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65CBAA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355592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4DC24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111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4DF4337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涂塑复合DN50内丝90°弯头</w:t>
            </w:r>
          </w:p>
        </w:tc>
        <w:tc>
          <w:tcPr>
            <w:tcW w:w="3084" w:type="dxa"/>
            <w:shd w:val="clear" w:color="auto" w:fill="auto"/>
            <w:vAlign w:val="center"/>
          </w:tcPr>
          <w:p w14:paraId="2465DEB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DN50内丝90°弯头</w:t>
            </w:r>
          </w:p>
        </w:tc>
        <w:tc>
          <w:tcPr>
            <w:tcW w:w="1224" w:type="dxa"/>
            <w:shd w:val="clear" w:color="auto" w:fill="auto"/>
            <w:vAlign w:val="center"/>
          </w:tcPr>
          <w:p w14:paraId="60289CE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71B57CD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423FB9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0EDE08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0740E8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6C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0A971FD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涂塑复合DN50*25内丝三通</w:t>
            </w:r>
          </w:p>
        </w:tc>
        <w:tc>
          <w:tcPr>
            <w:tcW w:w="3084" w:type="dxa"/>
            <w:shd w:val="clear" w:color="auto" w:fill="auto"/>
            <w:vAlign w:val="center"/>
          </w:tcPr>
          <w:p w14:paraId="236F7AD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DN50*25内丝三通</w:t>
            </w:r>
          </w:p>
        </w:tc>
        <w:tc>
          <w:tcPr>
            <w:tcW w:w="1224" w:type="dxa"/>
            <w:shd w:val="clear" w:color="auto" w:fill="auto"/>
            <w:vAlign w:val="center"/>
          </w:tcPr>
          <w:p w14:paraId="10DD397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6878AFC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85EBB8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21CC23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5B7C8E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B09B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4BBC95D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涂塑复合DN50内丝三通</w:t>
            </w:r>
          </w:p>
        </w:tc>
        <w:tc>
          <w:tcPr>
            <w:tcW w:w="3084" w:type="dxa"/>
            <w:shd w:val="clear" w:color="auto" w:fill="auto"/>
            <w:vAlign w:val="center"/>
          </w:tcPr>
          <w:p w14:paraId="6406361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DN50内丝三通</w:t>
            </w:r>
          </w:p>
        </w:tc>
        <w:tc>
          <w:tcPr>
            <w:tcW w:w="1224" w:type="dxa"/>
            <w:shd w:val="clear" w:color="auto" w:fill="auto"/>
            <w:vAlign w:val="center"/>
          </w:tcPr>
          <w:p w14:paraId="33E2C8E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4585455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4997397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080DBC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76E79E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15D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700730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涂塑复合DN25内丝90°弯头</w:t>
            </w:r>
          </w:p>
        </w:tc>
        <w:tc>
          <w:tcPr>
            <w:tcW w:w="3084" w:type="dxa"/>
            <w:shd w:val="clear" w:color="auto" w:fill="auto"/>
            <w:vAlign w:val="center"/>
          </w:tcPr>
          <w:p w14:paraId="5ECB868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DN25内丝90°弯头</w:t>
            </w:r>
          </w:p>
        </w:tc>
        <w:tc>
          <w:tcPr>
            <w:tcW w:w="1224" w:type="dxa"/>
            <w:shd w:val="clear" w:color="auto" w:fill="auto"/>
            <w:vAlign w:val="center"/>
          </w:tcPr>
          <w:p w14:paraId="3261665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5828ABA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F820F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3B860F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032D3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10C1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F50460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涂塑复合DN25内丝三通</w:t>
            </w:r>
          </w:p>
        </w:tc>
        <w:tc>
          <w:tcPr>
            <w:tcW w:w="3084" w:type="dxa"/>
            <w:shd w:val="clear" w:color="auto" w:fill="auto"/>
            <w:vAlign w:val="center"/>
          </w:tcPr>
          <w:p w14:paraId="224F7A9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DN25内丝三通</w:t>
            </w:r>
          </w:p>
        </w:tc>
        <w:tc>
          <w:tcPr>
            <w:tcW w:w="1224" w:type="dxa"/>
            <w:shd w:val="clear" w:color="auto" w:fill="auto"/>
            <w:vAlign w:val="center"/>
          </w:tcPr>
          <w:p w14:paraId="4EDDC04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020D7C7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603E99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216B4B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28DD0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94F2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C0538B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涂塑复合DN25*20内丝直接</w:t>
            </w:r>
          </w:p>
        </w:tc>
        <w:tc>
          <w:tcPr>
            <w:tcW w:w="3084" w:type="dxa"/>
            <w:shd w:val="clear" w:color="auto" w:fill="auto"/>
            <w:vAlign w:val="center"/>
          </w:tcPr>
          <w:p w14:paraId="2EDFDA7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DN25*20内丝直接</w:t>
            </w:r>
          </w:p>
        </w:tc>
        <w:tc>
          <w:tcPr>
            <w:tcW w:w="1224" w:type="dxa"/>
            <w:shd w:val="clear" w:color="auto" w:fill="auto"/>
            <w:vAlign w:val="center"/>
          </w:tcPr>
          <w:p w14:paraId="66B4CD1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5860737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7EDD403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76AE72D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FF365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301A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B2F5A0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涂塑复合DN25*20内丝三通</w:t>
            </w:r>
          </w:p>
        </w:tc>
        <w:tc>
          <w:tcPr>
            <w:tcW w:w="3084" w:type="dxa"/>
            <w:shd w:val="clear" w:color="auto" w:fill="auto"/>
            <w:vAlign w:val="center"/>
          </w:tcPr>
          <w:p w14:paraId="27B5A9D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DN25*20内丝三通</w:t>
            </w:r>
          </w:p>
        </w:tc>
        <w:tc>
          <w:tcPr>
            <w:tcW w:w="1224" w:type="dxa"/>
            <w:shd w:val="clear" w:color="auto" w:fill="auto"/>
            <w:vAlign w:val="center"/>
          </w:tcPr>
          <w:p w14:paraId="5174A58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7FE1CA4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A96BAE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244C58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30BE92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3BC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73BE937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DN25全铜截止阀</w:t>
            </w:r>
          </w:p>
        </w:tc>
        <w:tc>
          <w:tcPr>
            <w:tcW w:w="3084" w:type="dxa"/>
            <w:shd w:val="clear" w:color="auto" w:fill="auto"/>
            <w:vAlign w:val="center"/>
          </w:tcPr>
          <w:p w14:paraId="6E35508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DN25全铜截止阀</w:t>
            </w:r>
          </w:p>
        </w:tc>
        <w:tc>
          <w:tcPr>
            <w:tcW w:w="1224" w:type="dxa"/>
            <w:shd w:val="clear" w:color="auto" w:fill="auto"/>
            <w:vAlign w:val="center"/>
          </w:tcPr>
          <w:p w14:paraId="1CF723D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w:t>
            </w:r>
          </w:p>
        </w:tc>
        <w:tc>
          <w:tcPr>
            <w:tcW w:w="755" w:type="dxa"/>
            <w:shd w:val="clear" w:color="auto" w:fill="auto"/>
            <w:vAlign w:val="center"/>
          </w:tcPr>
          <w:p w14:paraId="1B528F4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092D013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1CE91F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62D9B3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88C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1BB1DC5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50不锈钢膨胀管卡</w:t>
            </w:r>
          </w:p>
        </w:tc>
        <w:tc>
          <w:tcPr>
            <w:tcW w:w="3084" w:type="dxa"/>
            <w:shd w:val="clear" w:color="auto" w:fill="auto"/>
            <w:vAlign w:val="center"/>
          </w:tcPr>
          <w:p w14:paraId="487AAB7D">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全不锈钢305，防腐防锈，加厚加宽，加强滚筋，PVC胶片不易老化，固定管外径47mm-52mm</w:t>
            </w:r>
          </w:p>
        </w:tc>
        <w:tc>
          <w:tcPr>
            <w:tcW w:w="1224" w:type="dxa"/>
            <w:shd w:val="clear" w:color="auto" w:fill="auto"/>
            <w:vAlign w:val="center"/>
          </w:tcPr>
          <w:p w14:paraId="0F1E31E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1EBBDAA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375AC6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0CA5F6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43560E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8C8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912EFF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25不锈钢膨胀管卡</w:t>
            </w:r>
          </w:p>
        </w:tc>
        <w:tc>
          <w:tcPr>
            <w:tcW w:w="3084" w:type="dxa"/>
            <w:shd w:val="clear" w:color="auto" w:fill="auto"/>
            <w:vAlign w:val="center"/>
          </w:tcPr>
          <w:p w14:paraId="62A59C13">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全不锈钢305，防腐防锈，加厚加宽，加强滚筋，PVC胶片不易老化,固定管外径22mm-25mm</w:t>
            </w:r>
          </w:p>
        </w:tc>
        <w:tc>
          <w:tcPr>
            <w:tcW w:w="1224" w:type="dxa"/>
            <w:shd w:val="clear" w:color="auto" w:fill="auto"/>
            <w:vAlign w:val="center"/>
          </w:tcPr>
          <w:p w14:paraId="1617182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68D0826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5A873A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5AAD2F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2FEE04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045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5AC51AD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20不锈钢膨胀管卡</w:t>
            </w:r>
          </w:p>
        </w:tc>
        <w:tc>
          <w:tcPr>
            <w:tcW w:w="3084" w:type="dxa"/>
            <w:shd w:val="clear" w:color="auto" w:fill="auto"/>
            <w:vAlign w:val="center"/>
          </w:tcPr>
          <w:p w14:paraId="1648DF8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全不锈钢305，防腐防锈，加厚加宽，加强滚筋，PVC胶片不易老化,固定管外径18mm-21mm</w:t>
            </w:r>
          </w:p>
        </w:tc>
        <w:tc>
          <w:tcPr>
            <w:tcW w:w="1224" w:type="dxa"/>
            <w:shd w:val="clear" w:color="auto" w:fill="auto"/>
            <w:vAlign w:val="center"/>
          </w:tcPr>
          <w:p w14:paraId="69BAFC9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5000</w:t>
            </w:r>
          </w:p>
        </w:tc>
        <w:tc>
          <w:tcPr>
            <w:tcW w:w="755" w:type="dxa"/>
            <w:shd w:val="clear" w:color="auto" w:fill="auto"/>
            <w:vAlign w:val="center"/>
          </w:tcPr>
          <w:p w14:paraId="0EDEBD4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045" w:type="dxa"/>
            <w:shd w:val="clear" w:color="auto" w:fill="auto"/>
            <w:vAlign w:val="center"/>
          </w:tcPr>
          <w:p w14:paraId="10C804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1B8DDA6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162555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33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shd w:val="clear" w:color="auto" w:fill="auto"/>
            <w:vAlign w:val="center"/>
          </w:tcPr>
          <w:p w14:paraId="6A062EF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kern w:val="0"/>
                <w:sz w:val="21"/>
                <w:szCs w:val="21"/>
                <w:u w:val="none"/>
                <w:lang w:val="en-US" w:eastAsia="zh-CN" w:bidi="ar"/>
              </w:rPr>
            </w:pPr>
          </w:p>
        </w:tc>
        <w:tc>
          <w:tcPr>
            <w:tcW w:w="3084" w:type="dxa"/>
            <w:shd w:val="clear" w:color="auto" w:fill="auto"/>
            <w:vAlign w:val="center"/>
          </w:tcPr>
          <w:p w14:paraId="72652AD9">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hAnsi="宋体" w:cs="宋体"/>
                <w:b w:val="0"/>
                <w:bCs w:val="0"/>
                <w:i w:val="0"/>
                <w:iCs w:val="0"/>
                <w:color w:val="000000"/>
                <w:kern w:val="0"/>
                <w:sz w:val="21"/>
                <w:szCs w:val="21"/>
                <w:u w:val="none"/>
                <w:lang w:val="en-US" w:eastAsia="zh-CN" w:bidi="ar"/>
              </w:rPr>
              <w:t>合计</w:t>
            </w:r>
          </w:p>
        </w:tc>
        <w:tc>
          <w:tcPr>
            <w:tcW w:w="1224" w:type="dxa"/>
            <w:shd w:val="clear" w:color="auto" w:fill="auto"/>
            <w:vAlign w:val="center"/>
          </w:tcPr>
          <w:p w14:paraId="7EBE578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kern w:val="0"/>
                <w:sz w:val="21"/>
                <w:szCs w:val="21"/>
                <w:u w:val="none"/>
                <w:lang w:val="en-US" w:eastAsia="zh-CN" w:bidi="ar"/>
              </w:rPr>
            </w:pPr>
          </w:p>
        </w:tc>
        <w:tc>
          <w:tcPr>
            <w:tcW w:w="755" w:type="dxa"/>
            <w:shd w:val="clear" w:color="auto" w:fill="auto"/>
            <w:vAlign w:val="center"/>
          </w:tcPr>
          <w:p w14:paraId="3F332E6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val="0"/>
                <w:bCs w:val="0"/>
                <w:i w:val="0"/>
                <w:iCs w:val="0"/>
                <w:color w:val="000000"/>
                <w:kern w:val="0"/>
                <w:sz w:val="21"/>
                <w:szCs w:val="21"/>
                <w:u w:val="none"/>
                <w:lang w:val="en-US" w:eastAsia="zh-CN" w:bidi="ar"/>
              </w:rPr>
            </w:pPr>
          </w:p>
        </w:tc>
        <w:tc>
          <w:tcPr>
            <w:tcW w:w="1045" w:type="dxa"/>
            <w:shd w:val="clear" w:color="auto" w:fill="auto"/>
            <w:vAlign w:val="center"/>
          </w:tcPr>
          <w:p w14:paraId="39670F9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1400" w:type="dxa"/>
            <w:shd w:val="clear" w:color="auto" w:fill="auto"/>
            <w:vAlign w:val="center"/>
          </w:tcPr>
          <w:p w14:paraId="2631E65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w:t>
            </w:r>
          </w:p>
        </w:tc>
        <w:tc>
          <w:tcPr>
            <w:tcW w:w="840" w:type="dxa"/>
            <w:shd w:val="clear" w:color="auto" w:fill="auto"/>
            <w:vAlign w:val="center"/>
          </w:tcPr>
          <w:p w14:paraId="0CF056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015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4" w:type="dxa"/>
            <w:gridSpan w:val="7"/>
            <w:shd w:val="clear" w:color="auto" w:fill="auto"/>
            <w:vAlign w:val="center"/>
          </w:tcPr>
          <w:p w14:paraId="36AC0E6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Ansi="宋体" w:cs="仿宋"/>
                <w:color w:val="auto"/>
                <w:sz w:val="24"/>
                <w:szCs w:val="24"/>
                <w:highlight w:val="none"/>
              </w:rPr>
              <w:t>暂定含税总金额¥</w:t>
            </w:r>
            <w:r>
              <w:rPr>
                <w:rFonts w:hAnsi="宋体" w:cs="仿宋"/>
                <w:color w:val="auto"/>
                <w:sz w:val="24"/>
                <w:szCs w:val="24"/>
                <w:highlight w:val="none"/>
                <w:u w:val="single"/>
              </w:rPr>
              <w:t xml:space="preserve">    </w:t>
            </w:r>
            <w:r>
              <w:rPr>
                <w:rFonts w:hAnsi="宋体" w:cs="仿宋"/>
                <w:color w:val="auto"/>
                <w:sz w:val="24"/>
                <w:szCs w:val="24"/>
                <w:highlight w:val="none"/>
              </w:rPr>
              <w:t>元（大写：</w:t>
            </w:r>
            <w:r>
              <w:rPr>
                <w:rFonts w:hAnsi="宋体" w:cs="仿宋"/>
                <w:color w:val="auto"/>
                <w:sz w:val="24"/>
                <w:szCs w:val="24"/>
                <w:highlight w:val="none"/>
                <w:u w:val="single"/>
              </w:rPr>
              <w:t xml:space="preserve"> </w:t>
            </w:r>
            <w:r>
              <w:rPr>
                <w:rFonts w:hint="eastAsia" w:hAnsi="宋体" w:cs="仿宋"/>
                <w:color w:val="auto"/>
                <w:sz w:val="24"/>
                <w:szCs w:val="24"/>
                <w:highlight w:val="none"/>
                <w:u w:val="single"/>
                <w:lang w:val="en-US" w:eastAsia="zh-CN"/>
              </w:rPr>
              <w:t xml:space="preserve">              </w:t>
            </w:r>
            <w:r>
              <w:rPr>
                <w:rFonts w:hAnsi="宋体" w:cs="仿宋"/>
                <w:color w:val="auto"/>
                <w:sz w:val="24"/>
                <w:szCs w:val="24"/>
                <w:highlight w:val="none"/>
                <w:u w:val="single"/>
              </w:rPr>
              <w:t xml:space="preserve"> </w:t>
            </w:r>
            <w:r>
              <w:rPr>
                <w:rFonts w:hAnsi="宋体" w:cs="仿宋"/>
                <w:color w:val="auto"/>
                <w:sz w:val="24"/>
                <w:szCs w:val="24"/>
                <w:highlight w:val="none"/>
              </w:rPr>
              <w:t>）</w:t>
            </w:r>
          </w:p>
        </w:tc>
      </w:tr>
      <w:tr w14:paraId="6715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4" w:type="dxa"/>
            <w:gridSpan w:val="7"/>
            <w:shd w:val="clear" w:color="auto" w:fill="auto"/>
            <w:vAlign w:val="center"/>
          </w:tcPr>
          <w:p w14:paraId="296500C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Ansi="宋体" w:cs="仿宋"/>
                <w:color w:val="auto"/>
                <w:sz w:val="24"/>
                <w:szCs w:val="24"/>
                <w:highlight w:val="none"/>
              </w:rPr>
              <w:t>增值税税金金额¥</w:t>
            </w:r>
            <w:r>
              <w:rPr>
                <w:rFonts w:hAnsi="宋体" w:cs="仿宋"/>
                <w:color w:val="auto"/>
                <w:sz w:val="24"/>
                <w:szCs w:val="24"/>
                <w:highlight w:val="none"/>
                <w:u w:val="single"/>
              </w:rPr>
              <w:t xml:space="preserve"> </w:t>
            </w:r>
            <w:r>
              <w:rPr>
                <w:rFonts w:hint="eastAsia" w:hAnsi="宋体" w:cs="仿宋"/>
                <w:color w:val="auto"/>
                <w:sz w:val="24"/>
                <w:szCs w:val="24"/>
                <w:highlight w:val="none"/>
                <w:u w:val="single"/>
                <w:lang w:val="en-US" w:eastAsia="zh-CN"/>
              </w:rPr>
              <w:t xml:space="preserve">       </w:t>
            </w:r>
            <w:r>
              <w:rPr>
                <w:rFonts w:hAnsi="宋体" w:cs="仿宋"/>
                <w:color w:val="auto"/>
                <w:sz w:val="24"/>
                <w:szCs w:val="24"/>
                <w:highlight w:val="none"/>
                <w:u w:val="single"/>
              </w:rPr>
              <w:t xml:space="preserve"> </w:t>
            </w:r>
            <w:r>
              <w:rPr>
                <w:rFonts w:hAnsi="宋体" w:cs="仿宋"/>
                <w:color w:val="auto"/>
                <w:sz w:val="24"/>
                <w:szCs w:val="24"/>
                <w:highlight w:val="none"/>
              </w:rPr>
              <w:t>元（大写：</w:t>
            </w:r>
            <w:r>
              <w:rPr>
                <w:rFonts w:hAnsi="宋体" w:cs="仿宋"/>
                <w:color w:val="auto"/>
                <w:sz w:val="24"/>
                <w:szCs w:val="24"/>
                <w:highlight w:val="none"/>
                <w:u w:val="single"/>
              </w:rPr>
              <w:t xml:space="preserve"> </w:t>
            </w:r>
            <w:r>
              <w:rPr>
                <w:rFonts w:hint="eastAsia" w:hAnsi="宋体" w:cs="仿宋"/>
                <w:color w:val="auto"/>
                <w:sz w:val="24"/>
                <w:szCs w:val="24"/>
                <w:highlight w:val="none"/>
                <w:u w:val="single"/>
                <w:lang w:val="en-US" w:eastAsia="zh-CN"/>
              </w:rPr>
              <w:t xml:space="preserve">     </w:t>
            </w:r>
            <w:r>
              <w:rPr>
                <w:rFonts w:hAnsi="宋体" w:cs="仿宋"/>
                <w:color w:val="auto"/>
                <w:sz w:val="24"/>
                <w:szCs w:val="24"/>
                <w:highlight w:val="none"/>
                <w:u w:val="single"/>
              </w:rPr>
              <w:t xml:space="preserve"> </w:t>
            </w:r>
            <w:r>
              <w:rPr>
                <w:rFonts w:hAnsi="宋体" w:cs="仿宋"/>
                <w:color w:val="auto"/>
                <w:sz w:val="24"/>
                <w:szCs w:val="24"/>
                <w:highlight w:val="none"/>
              </w:rPr>
              <w:t>）13%</w:t>
            </w:r>
          </w:p>
        </w:tc>
      </w:tr>
      <w:tr w14:paraId="518D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4" w:type="dxa"/>
            <w:gridSpan w:val="7"/>
            <w:shd w:val="clear" w:color="auto" w:fill="auto"/>
            <w:vAlign w:val="center"/>
          </w:tcPr>
          <w:p w14:paraId="520F532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Ansi="宋体" w:cs="仿宋"/>
                <w:color w:val="auto"/>
                <w:sz w:val="24"/>
                <w:szCs w:val="24"/>
                <w:highlight w:val="none"/>
              </w:rPr>
              <w:t>合计不含税总金额：¥</w:t>
            </w:r>
            <w:r>
              <w:rPr>
                <w:rFonts w:hAnsi="宋体" w:cs="仿宋"/>
                <w:color w:val="auto"/>
                <w:sz w:val="24"/>
                <w:szCs w:val="24"/>
                <w:highlight w:val="none"/>
                <w:u w:val="single"/>
              </w:rPr>
              <w:t xml:space="preserve"> </w:t>
            </w:r>
            <w:r>
              <w:rPr>
                <w:rFonts w:hint="eastAsia" w:hAnsi="宋体" w:cs="仿宋"/>
                <w:color w:val="auto"/>
                <w:sz w:val="24"/>
                <w:szCs w:val="24"/>
                <w:highlight w:val="none"/>
                <w:u w:val="single"/>
                <w:lang w:val="en-US" w:eastAsia="zh-CN"/>
              </w:rPr>
              <w:t xml:space="preserve">   </w:t>
            </w:r>
            <w:r>
              <w:rPr>
                <w:rFonts w:hAnsi="宋体" w:cs="仿宋"/>
                <w:color w:val="auto"/>
                <w:sz w:val="24"/>
                <w:szCs w:val="24"/>
                <w:highlight w:val="none"/>
                <w:u w:val="single"/>
              </w:rPr>
              <w:t xml:space="preserve"> </w:t>
            </w:r>
            <w:r>
              <w:rPr>
                <w:rFonts w:hAnsi="宋体" w:cs="仿宋"/>
                <w:color w:val="auto"/>
                <w:sz w:val="24"/>
                <w:szCs w:val="24"/>
                <w:highlight w:val="none"/>
              </w:rPr>
              <w:t>元（大写：</w:t>
            </w:r>
            <w:r>
              <w:rPr>
                <w:rFonts w:hint="eastAsia" w:hAnsi="宋体" w:cs="仿宋"/>
                <w:color w:val="auto"/>
                <w:sz w:val="24"/>
                <w:szCs w:val="24"/>
                <w:highlight w:val="none"/>
                <w:u w:val="single"/>
                <w:lang w:val="en-US" w:eastAsia="zh-CN"/>
              </w:rPr>
              <w:t xml:space="preserve">          </w:t>
            </w:r>
            <w:r>
              <w:rPr>
                <w:rFonts w:hAnsi="宋体" w:cs="仿宋"/>
                <w:color w:val="auto"/>
                <w:sz w:val="24"/>
                <w:szCs w:val="24"/>
                <w:highlight w:val="none"/>
              </w:rPr>
              <w:t>）。</w:t>
            </w:r>
          </w:p>
        </w:tc>
      </w:tr>
      <w:tr w14:paraId="76948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4" w:type="dxa"/>
            <w:gridSpan w:val="7"/>
            <w:shd w:val="clear" w:color="auto" w:fill="auto"/>
            <w:vAlign w:val="center"/>
          </w:tcPr>
          <w:p w14:paraId="0B5CBA88">
            <w:pPr>
              <w:widowControl/>
              <w:spacing w:after="120" w:afterLines="50" w:line="360" w:lineRule="auto"/>
              <w:jc w:val="both"/>
              <w:textAlignment w:val="center"/>
              <w:rPr>
                <w:rFonts w:hAnsi="宋体" w:cs="仿宋"/>
                <w:color w:val="auto"/>
                <w:sz w:val="24"/>
                <w:szCs w:val="24"/>
                <w:highlight w:val="none"/>
              </w:rPr>
            </w:pPr>
            <w:r>
              <w:rPr>
                <w:rFonts w:hAnsi="宋体" w:cs="仿宋"/>
                <w:color w:val="auto"/>
                <w:sz w:val="24"/>
                <w:szCs w:val="24"/>
                <w:highlight w:val="none"/>
                <w:lang w:bidi="ar"/>
              </w:rPr>
              <w:t>1、</w:t>
            </w:r>
            <w:r>
              <w:rPr>
                <w:rFonts w:hAnsi="宋体" w:cs="仿宋"/>
                <w:color w:val="auto"/>
                <w:sz w:val="24"/>
                <w:szCs w:val="24"/>
                <w:highlight w:val="none"/>
              </w:rPr>
              <w:t>综合含税单价包含材料费用、装车费用、运输费用、卸车到指定地点费用、增值税税金费用等；提供相关资料以及相关配套服务。</w:t>
            </w:r>
          </w:p>
          <w:p w14:paraId="50D038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Ansi="宋体" w:cs="仿宋"/>
                <w:color w:val="auto"/>
                <w:sz w:val="24"/>
                <w:szCs w:val="24"/>
                <w:highlight w:val="none"/>
                <w:lang w:bidi="ar"/>
              </w:rPr>
              <w:t>2、本合同为暂定供货量，实际供货数量以甲方实际签收量为准，实际结算金额以实际到货验收合格的数量结算。</w:t>
            </w:r>
          </w:p>
        </w:tc>
      </w:tr>
    </w:tbl>
    <w:p w14:paraId="4A4D98C3">
      <w:pPr>
        <w:pStyle w:val="2"/>
      </w:pPr>
    </w:p>
    <w:p w14:paraId="41D9DBE7">
      <w:pPr>
        <w:spacing w:line="360" w:lineRule="auto"/>
        <w:ind w:firstLine="482" w:firstLineChars="200"/>
        <w:jc w:val="left"/>
        <w:rPr>
          <w:rFonts w:hAnsi="宋体" w:cs="仿宋"/>
          <w:b/>
          <w:bCs/>
          <w:color w:val="auto"/>
          <w:sz w:val="24"/>
          <w:szCs w:val="24"/>
          <w:highlight w:val="none"/>
        </w:rPr>
      </w:pPr>
      <w:r>
        <w:rPr>
          <w:rFonts w:hAnsi="宋体" w:cs="仿宋"/>
          <w:b/>
          <w:bCs/>
          <w:color w:val="auto"/>
          <w:sz w:val="24"/>
          <w:szCs w:val="24"/>
          <w:highlight w:val="none"/>
        </w:rPr>
        <w:t>二、交货地点及交货方式：</w:t>
      </w:r>
    </w:p>
    <w:p w14:paraId="4CB55950">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2.1交货方式：乙方送货到甲方计划要求指定的位置堆场。</w:t>
      </w:r>
    </w:p>
    <w:p w14:paraId="2825E903">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2.2交货时间：</w:t>
      </w:r>
      <w:bookmarkStart w:id="0" w:name="OLE_LINK10"/>
      <w:r>
        <w:rPr>
          <w:rFonts w:hAnsi="宋体" w:cs="仿宋"/>
          <w:color w:val="auto"/>
          <w:sz w:val="24"/>
          <w:szCs w:val="24"/>
          <w:highlight w:val="none"/>
        </w:rPr>
        <w:t>甲方在需要进场前 1-3 天以书面、电子扫描版的《材料采购通知单》（见附件1）或电话通知的形式向乙方提供材料设备分批进场计划，乙方必须按时交货，不得擅自拖延交货时间。若因乙方拖延交货而造成甲方的工程进度的延误等直接、间接损失全部由乙方承担，甲方将以违约条款向乙方收取费用。累计发生</w:t>
      </w:r>
      <w:r>
        <w:rPr>
          <w:rFonts w:hAnsi="宋体" w:cs="仿宋"/>
          <w:color w:val="auto"/>
          <w:sz w:val="24"/>
          <w:szCs w:val="24"/>
          <w:highlight w:val="none"/>
          <w:u w:val="single"/>
          <w:shd w:val="clear" w:color="FFFFFF" w:fill="D9D9D9"/>
        </w:rPr>
        <w:t>3</w:t>
      </w:r>
      <w:r>
        <w:rPr>
          <w:rFonts w:hAnsi="宋体" w:cs="仿宋"/>
          <w:color w:val="auto"/>
          <w:sz w:val="24"/>
          <w:szCs w:val="24"/>
          <w:highlight w:val="none"/>
        </w:rPr>
        <w:t>次不按时交货，停止此供应商供货，终止合同，并列入甲方供应商黑名单。</w:t>
      </w:r>
    </w:p>
    <w:bookmarkEnd w:id="0"/>
    <w:p w14:paraId="18708A99">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2.3交货地点：甲方指定的地点：</w:t>
      </w:r>
      <w:r>
        <w:rPr>
          <w:rFonts w:hAnsi="宋体" w:cs="仿宋"/>
          <w:color w:val="auto"/>
          <w:sz w:val="24"/>
          <w:szCs w:val="24"/>
          <w:highlight w:val="none"/>
          <w:u w:val="single"/>
        </w:rPr>
        <w:t xml:space="preserve">四川省乐山市夹江县各镇街道施工现场 </w:t>
      </w:r>
      <w:r>
        <w:rPr>
          <w:rFonts w:hAnsi="宋体" w:cs="仿宋"/>
          <w:color w:val="auto"/>
          <w:sz w:val="24"/>
          <w:szCs w:val="24"/>
          <w:highlight w:val="none"/>
        </w:rPr>
        <w:t xml:space="preserve"> 。</w:t>
      </w:r>
    </w:p>
    <w:p w14:paraId="32D393AE">
      <w:pPr>
        <w:pStyle w:val="4"/>
        <w:bidi w:val="0"/>
        <w:ind w:firstLine="480" w:firstLineChars="200"/>
        <w:rPr>
          <w:rFonts w:hint="eastAsia"/>
          <w:lang w:val="en-US" w:eastAsia="zh-CN"/>
        </w:rPr>
      </w:pPr>
      <w:r>
        <w:rPr>
          <w:rFonts w:hint="eastAsia" w:ascii="宋体" w:hAnsi="宋体" w:eastAsia="宋体" w:cs="宋体"/>
          <w:kern w:val="2"/>
          <w:szCs w:val="24"/>
          <w:lang w:val="en-US" w:eastAsia="zh-CN" w:bidi="ar-SA"/>
        </w:rPr>
        <w:t>双</w:t>
      </w:r>
      <w:r>
        <w:rPr>
          <w:rFonts w:hint="eastAsia"/>
          <w:lang w:val="en-US" w:eastAsia="zh-CN"/>
        </w:rPr>
        <w:t>方指定联系方式及预留印鉴、签字负责：收货、签送货单、确认单价及金额、确认违约罚金及其他违约责任、结算付款、代收发票及其他相关事项</w:t>
      </w:r>
    </w:p>
    <w:p w14:paraId="4FD2EDD9">
      <w:pPr>
        <w:pStyle w:val="4"/>
        <w:bidi w:val="0"/>
        <w:ind w:firstLine="480" w:firstLineChars="200"/>
        <w:rPr>
          <w:rFonts w:hint="eastAsia" w:ascii="宋体" w:hAnsi="宋体" w:eastAsia="宋体" w:cs="宋体"/>
          <w:kern w:val="2"/>
          <w:sz w:val="24"/>
          <w:szCs w:val="24"/>
          <w:lang w:val="en-US" w:eastAsia="zh-CN" w:bidi="ar-SA"/>
        </w:rPr>
      </w:pPr>
      <w:r>
        <w:rPr>
          <w:rFonts w:hint="eastAsia"/>
          <w:lang w:val="en-US" w:eastAsia="zh-CN"/>
        </w:rPr>
        <w:t>乙方指定联系方式及预留印鉴、签字：</w:t>
      </w:r>
      <w:r>
        <w:rPr>
          <w:rFonts w:hint="eastAsia" w:ascii="宋体" w:hAnsi="宋体" w:eastAsia="宋体" w:cs="宋体"/>
          <w:kern w:val="2"/>
          <w:sz w:val="24"/>
          <w:szCs w:val="24"/>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2869565</wp:posOffset>
                </wp:positionH>
                <wp:positionV relativeFrom="paragraph">
                  <wp:posOffset>250190</wp:posOffset>
                </wp:positionV>
                <wp:extent cx="2520315" cy="1734185"/>
                <wp:effectExtent l="4445" t="5080" r="8890" b="13335"/>
                <wp:wrapTopAndBottom/>
                <wp:docPr id="23" name="矩形 23"/>
                <wp:cNvGraphicFramePr/>
                <a:graphic xmlns:a="http://schemas.openxmlformats.org/drawingml/2006/main">
                  <a:graphicData uri="http://schemas.microsoft.com/office/word/2010/wordprocessingShape">
                    <wps:wsp>
                      <wps:cNvSpPr>
                        <a:spLocks noChangeArrowheads="1"/>
                      </wps:cNvSpPr>
                      <wps:spPr bwMode="auto">
                        <a:xfrm>
                          <a:off x="0" y="0"/>
                          <a:ext cx="2520315" cy="1734185"/>
                        </a:xfrm>
                        <a:prstGeom prst="rect">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25.95pt;margin-top:19.7pt;height:136.55pt;width:198.45pt;mso-wrap-distance-bottom:0pt;mso-wrap-distance-top:0pt;z-index:251661312;mso-width-relative:page;mso-height-relative:page;" fillcolor="#FFFFFF" filled="t" stroked="t" coordsize="21600,21600" o:gfxdata="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F+GlR2QAAAAoBAAAPAAAAAAAAAAEAIAAAACIAAABkcnMv&#10;ZG93bnJldi54bWxQSwECFAAUAAAACACHTuJA9IzdMjsCAACABAAADgAAAAAAAAABACAAAAAoAQAA&#10;ZHJzL2Uyb0RvYy54bWxQSwUGAAAAAAYABgBZAQAA1QUAAAAA&#10;">
                <v:fill on="t" focussize="0,0"/>
                <v:stroke color="#000000" miterlimit="8" joinstyle="miter"/>
                <v:imagedata o:title=""/>
                <o:lock v:ext="edit" aspectratio="f"/>
                <w10:wrap type="topAndBottom"/>
              </v:rect>
            </w:pict>
          </mc:Fallback>
        </mc:AlternateContent>
      </w:r>
      <w:r>
        <w:rPr>
          <w:rFonts w:hint="eastAsia" w:ascii="宋体" w:hAnsi="宋体" w:eastAsia="宋体" w:cs="宋体"/>
          <w:kern w:val="2"/>
          <w:sz w:val="24"/>
          <w:szCs w:val="24"/>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260985</wp:posOffset>
                </wp:positionH>
                <wp:positionV relativeFrom="paragraph">
                  <wp:posOffset>257810</wp:posOffset>
                </wp:positionV>
                <wp:extent cx="2520315" cy="1705610"/>
                <wp:effectExtent l="4445" t="4445" r="8890" b="23495"/>
                <wp:wrapTopAndBottom/>
                <wp:docPr id="24" name="矩形 24"/>
                <wp:cNvGraphicFramePr/>
                <a:graphic xmlns:a="http://schemas.openxmlformats.org/drawingml/2006/main">
                  <a:graphicData uri="http://schemas.microsoft.com/office/word/2010/wordprocessingShape">
                    <wps:wsp>
                      <wps:cNvSpPr>
                        <a:spLocks noChangeArrowheads="1"/>
                      </wps:cNvSpPr>
                      <wps:spPr bwMode="auto">
                        <a:xfrm>
                          <a:off x="0" y="0"/>
                          <a:ext cx="2520315" cy="1705610"/>
                        </a:xfrm>
                        <a:prstGeom prst="rect">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0.55pt;margin-top:20.3pt;height:134.3pt;width:198.45pt;mso-wrap-distance-bottom:0pt;mso-wrap-distance-top:0pt;z-index:251659264;mso-width-relative:page;mso-height-relative:page;" fillcolor="#FFFFFF" filled="t" stroked="t" coordsize="21600,21600" o:gfxdata="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BkysjDYAAAACQEAAA8AAAAAAAAAAQAgAAAAIgAAAGRycy9k&#10;b3ducmV2LnhtbFBLAQIUABQAAAAIAIdO4kDy4T8kOwIAAIAEAAAOAAAAAAAAAAEAIAAAACcBAABk&#10;cnMvZTJvRG9jLnhtbFBLBQYAAAAABgAGAFkBAADUBQAAAAA=&#10;">
                <v:fill on="t" focussize="0,0"/>
                <v:stroke color="#000000" miterlimit="8" joinstyle="miter"/>
                <v:imagedata o:title=""/>
                <o:lock v:ext="edit" aspectratio="f"/>
                <w10:wrap type="topAndBottom"/>
              </v:rect>
            </w:pict>
          </mc:Fallback>
        </mc:AlternateContent>
      </w:r>
      <w:r>
        <w:rPr>
          <w:rFonts w:hint="eastAsia" w:ascii="宋体" w:hAnsi="宋体" w:eastAsia="宋体" w:cs="宋体"/>
          <w:kern w:val="2"/>
          <w:sz w:val="24"/>
          <w:szCs w:val="24"/>
          <w:lang w:val="en-US" w:eastAsia="zh-CN" w:bidi="ar-SA"/>
        </w:rPr>
        <w:t xml:space="preserve">     </w:t>
      </w:r>
    </w:p>
    <w:p w14:paraId="065B3CF6">
      <w:pPr>
        <w:pStyle w:val="5"/>
        <w:ind w:firstLine="787" w:firstLineChars="32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（乙方预留印鉴）                     （乙方授权代表预留签字）</w:t>
      </w:r>
    </w:p>
    <w:p w14:paraId="6341D2D0">
      <w:pPr>
        <w:pStyle w:val="5"/>
        <w:ind w:firstLine="481"/>
        <w:rPr>
          <w:rFonts w:hint="eastAsia" w:ascii="宋体" w:hAnsi="宋体" w:eastAsia="宋体" w:cs="宋体"/>
          <w:kern w:val="2"/>
          <w:sz w:val="24"/>
          <w:szCs w:val="24"/>
          <w:lang w:val="en-US" w:eastAsia="zh-CN" w:bidi="ar-SA"/>
        </w:rPr>
      </w:pPr>
    </w:p>
    <w:p w14:paraId="5B618EBA">
      <w:pPr>
        <w:pStyle w:val="4"/>
        <w:bidi w:val="0"/>
        <w:ind w:firstLine="480" w:firstLineChars="200"/>
        <w:rPr>
          <w:rFonts w:hint="eastAsia"/>
          <w:lang w:val="en-US" w:eastAsia="zh-CN"/>
        </w:rPr>
      </w:pPr>
      <w:r>
        <w:rPr>
          <w:rFonts w:hint="eastAsia"/>
          <w:lang w:val="en-US" w:eastAsia="zh-CN"/>
        </w:rPr>
        <w:t>乙方接受、发出本协议项下涉及单据、函件（含附件）等文件的指定联系方式为：</w:t>
      </w:r>
    </w:p>
    <w:p w14:paraId="7D70A07C">
      <w:pPr>
        <w:pStyle w:val="4"/>
        <w:bidi w:val="0"/>
        <w:rPr>
          <w:rFonts w:hint="default"/>
          <w:lang w:val="en-US" w:eastAsia="zh-CN"/>
        </w:rPr>
      </w:pPr>
      <w:r>
        <w:rPr>
          <w:rFonts w:hint="eastAsia"/>
          <w:lang w:val="en-US" w:eastAsia="zh-CN"/>
        </w:rPr>
        <w:t>联系地址：</w:t>
      </w:r>
    </w:p>
    <w:p w14:paraId="6EED1942">
      <w:pPr>
        <w:pStyle w:val="4"/>
        <w:bidi w:val="0"/>
        <w:rPr>
          <w:rFonts w:hint="default"/>
          <w:lang w:val="en-US" w:eastAsia="zh-CN"/>
        </w:rPr>
      </w:pPr>
      <w:r>
        <w:rPr>
          <w:rFonts w:hint="eastAsia"/>
          <w:lang w:val="en-US" w:eastAsia="zh-CN"/>
        </w:rPr>
        <w:t>乙方授权代表1姓名：</w:t>
      </w:r>
    </w:p>
    <w:p w14:paraId="39A30D0D">
      <w:pPr>
        <w:pStyle w:val="4"/>
        <w:bidi w:val="0"/>
        <w:rPr>
          <w:rFonts w:hint="eastAsia"/>
          <w:lang w:val="en-US" w:eastAsia="zh-CN"/>
        </w:rPr>
      </w:pPr>
      <w:r>
        <w:rPr>
          <w:rFonts w:hint="eastAsia"/>
          <w:lang w:val="en-US" w:eastAsia="zh-CN"/>
        </w:rPr>
        <w:t>乙方授权代表公民身份号码：</w:t>
      </w:r>
    </w:p>
    <w:p w14:paraId="3DC10F68">
      <w:pPr>
        <w:pStyle w:val="4"/>
        <w:bidi w:val="0"/>
        <w:rPr>
          <w:rFonts w:hint="default"/>
          <w:lang w:val="en-US" w:eastAsia="zh-CN"/>
        </w:rPr>
      </w:pPr>
      <w:r>
        <w:rPr>
          <w:rFonts w:hint="eastAsia"/>
          <w:lang w:val="en-US" w:eastAsia="zh-CN"/>
        </w:rPr>
        <w:t>联系电话：</w:t>
      </w:r>
    </w:p>
    <w:p w14:paraId="5A7F0DBD">
      <w:pPr>
        <w:pStyle w:val="4"/>
        <w:bidi w:val="0"/>
        <w:rPr>
          <w:rFonts w:hint="default"/>
          <w:lang w:val="en-US" w:eastAsia="zh-CN"/>
        </w:rPr>
      </w:pPr>
      <w:r>
        <w:rPr>
          <w:rFonts w:hint="eastAsia"/>
          <w:lang w:val="en-US" w:eastAsia="zh-CN"/>
        </w:rPr>
        <w:t xml:space="preserve">乙方授权代表2姓名： </w:t>
      </w:r>
    </w:p>
    <w:p w14:paraId="4F3F17AF">
      <w:pPr>
        <w:pStyle w:val="4"/>
        <w:bidi w:val="0"/>
        <w:rPr>
          <w:rFonts w:hint="eastAsia"/>
          <w:lang w:val="en-US" w:eastAsia="zh-CN"/>
        </w:rPr>
      </w:pPr>
      <w:r>
        <w:rPr>
          <w:rFonts w:hint="eastAsia"/>
          <w:lang w:val="en-US" w:eastAsia="zh-CN"/>
        </w:rPr>
        <w:t>乙方授权代表公民身份号码：</w:t>
      </w:r>
    </w:p>
    <w:p w14:paraId="6841F278">
      <w:pPr>
        <w:pStyle w:val="4"/>
        <w:bidi w:val="0"/>
        <w:rPr>
          <w:rFonts w:hint="eastAsia"/>
          <w:lang w:val="en-US" w:eastAsia="zh-CN"/>
        </w:rPr>
      </w:pPr>
      <w:r>
        <w:rPr>
          <w:rFonts w:hint="eastAsia"/>
          <w:lang w:val="en-US" w:eastAsia="zh-CN"/>
        </w:rPr>
        <w:t>联系电话：</w:t>
      </w:r>
    </w:p>
    <w:p w14:paraId="153BA631">
      <w:pPr>
        <w:pStyle w:val="5"/>
        <w:ind w:firstLine="481"/>
        <w:rPr>
          <w:rFonts w:hint="eastAsia" w:ascii="宋体" w:hAnsi="宋体" w:eastAsia="宋体" w:cs="宋体"/>
          <w:sz w:val="24"/>
          <w:szCs w:val="24"/>
        </w:rPr>
      </w:pPr>
      <w:r>
        <w:rPr>
          <w:rFonts w:hint="eastAsia" w:ascii="宋体" w:hAnsi="宋体" w:eastAsia="宋体" w:cs="宋体"/>
          <w:sz w:val="24"/>
          <w:szCs w:val="24"/>
        </w:rPr>
        <w:t>甲方指定联系方式及预留印鉴、签字：</w:t>
      </w:r>
      <w:r>
        <w:rPr>
          <w:rFonts w:hint="eastAsia" w:ascii="宋体" w:hAnsi="宋体" w:eastAsia="宋体" w:cs="宋体"/>
          <w:sz w:val="24"/>
          <w:szCs w:val="24"/>
        </w:rPr>
        <mc:AlternateContent>
          <mc:Choice Requires="wps">
            <w:drawing>
              <wp:anchor distT="0" distB="0" distL="114300" distR="114300" simplePos="0" relativeHeight="251660288" behindDoc="0" locked="0" layoutInCell="1" allowOverlap="1">
                <wp:simplePos x="0" y="0"/>
                <wp:positionH relativeFrom="column">
                  <wp:posOffset>502920</wp:posOffset>
                </wp:positionH>
                <wp:positionV relativeFrom="paragraph">
                  <wp:posOffset>373380</wp:posOffset>
                </wp:positionV>
                <wp:extent cx="2585720" cy="1814195"/>
                <wp:effectExtent l="4445" t="4445" r="19685" b="10160"/>
                <wp:wrapTopAndBottom/>
                <wp:docPr id="25" name="矩形 25"/>
                <wp:cNvGraphicFramePr/>
                <a:graphic xmlns:a="http://schemas.openxmlformats.org/drawingml/2006/main">
                  <a:graphicData uri="http://schemas.microsoft.com/office/word/2010/wordprocessingShape">
                    <wps:wsp>
                      <wps:cNvSpPr>
                        <a:spLocks noChangeArrowheads="1"/>
                      </wps:cNvSpPr>
                      <wps:spPr bwMode="auto">
                        <a:xfrm>
                          <a:off x="0" y="0"/>
                          <a:ext cx="2585720" cy="1814195"/>
                        </a:xfrm>
                        <a:prstGeom prst="rect">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9.6pt;margin-top:29.4pt;height:142.85pt;width:203.6pt;mso-wrap-distance-bottom:0pt;mso-wrap-distance-top:0pt;z-index:251660288;mso-width-relative:page;mso-height-relative:page;" fillcolor="#FFFFFF" filled="t" stroked="t" coordsize="21600,21600" o:gfxdata="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D7xtgAAAAJAQAADwAAAAAAAAABACAAAAAiAAAAZHJzL2Rvd25yZXYu&#10;eG1sUEsBAhQAFAAAAAgAh07iQBGvZUM0AgAAgAQAAA4AAAAAAAAAAQAgAAAAJwEAAGRycy9lMm9E&#10;b2MueG1sUEsFBgAAAAAGAAYAWQEAAM0FAAAAAA==&#10;">
                <v:fill on="t" focussize="0,0"/>
                <v:stroke color="#000000" miterlimit="8" joinstyle="miter"/>
                <v:imagedata o:title=""/>
                <o:lock v:ext="edit" aspectratio="f"/>
                <w10:wrap type="topAndBottom"/>
              </v:rect>
            </w:pict>
          </mc:Fallback>
        </mc:AlternateContent>
      </w:r>
      <w:r>
        <w:rPr>
          <w:rFonts w:hint="eastAsia" w:ascii="宋体" w:hAnsi="宋体" w:eastAsia="宋体" w:cs="宋体"/>
          <w:sz w:val="24"/>
          <w:szCs w:val="24"/>
        </w:rPr>
        <mc:AlternateContent>
          <mc:Choice Requires="wps">
            <w:drawing>
              <wp:anchor distT="0" distB="0" distL="114300" distR="114300" simplePos="0" relativeHeight="251662336" behindDoc="0" locked="0" layoutInCell="1" allowOverlap="1">
                <wp:simplePos x="0" y="0"/>
                <wp:positionH relativeFrom="column">
                  <wp:posOffset>3235960</wp:posOffset>
                </wp:positionH>
                <wp:positionV relativeFrom="paragraph">
                  <wp:posOffset>380365</wp:posOffset>
                </wp:positionV>
                <wp:extent cx="2597785" cy="1819910"/>
                <wp:effectExtent l="4445" t="4445" r="7620" b="23495"/>
                <wp:wrapTopAndBottom/>
                <wp:docPr id="133" name="矩形 133"/>
                <wp:cNvGraphicFramePr/>
                <a:graphic xmlns:a="http://schemas.openxmlformats.org/drawingml/2006/main">
                  <a:graphicData uri="http://schemas.microsoft.com/office/word/2010/wordprocessingShape">
                    <wps:wsp>
                      <wps:cNvSpPr>
                        <a:spLocks noChangeArrowheads="1"/>
                      </wps:cNvSpPr>
                      <wps:spPr bwMode="auto">
                        <a:xfrm>
                          <a:off x="0" y="0"/>
                          <a:ext cx="2597785" cy="1819910"/>
                        </a:xfrm>
                        <a:prstGeom prst="rect">
                          <a:avLst/>
                        </a:prstGeom>
                        <a:solidFill>
                          <a:srgbClr val="FFFFFF"/>
                        </a:solidFill>
                        <a:ln w="9525">
                          <a:solidFill>
                            <a:srgbClr val="000000"/>
                          </a:solidFill>
                          <a:miter lim="8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54.8pt;margin-top:29.95pt;height:143.3pt;width:204.55pt;mso-wrap-distance-bottom:0pt;mso-wrap-distance-top:0pt;z-index:251662336;mso-width-relative:page;mso-height-relative:page;" fillcolor="#FFFFFF" filled="t" stroked="t" coordsize="21600,21600" o:gfxdata="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&#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CVDUrTZAAAACgEAAA8AAAAAAAAAAQAgAAAAIgAAAGRy&#10;cy9kb3ducmV2LnhtbFBLAQIUABQAAAAIAIdO4kAZy2rCPQIAAIIEAAAOAAAAAAAAAAEAIAAAACgB&#10;AABkcnMvZTJvRG9jLnhtbFBLBQYAAAAABgAGAFkBAADXBQAAAAA=&#10;">
                <v:fill on="t" focussize="0,0"/>
                <v:stroke color="#000000" miterlimit="8" joinstyle="miter"/>
                <v:imagedata o:title=""/>
                <o:lock v:ext="edit" aspectratio="f"/>
                <w10:wrap type="topAndBottom"/>
              </v:rect>
            </w:pict>
          </mc:Fallback>
        </mc:AlternateContent>
      </w:r>
    </w:p>
    <w:p w14:paraId="650F38DC">
      <w:pPr>
        <w:pStyle w:val="5"/>
        <w:ind w:firstLine="1920" w:firstLineChars="800"/>
        <w:rPr>
          <w:rFonts w:hint="eastAsia"/>
        </w:rPr>
      </w:pPr>
      <w:r>
        <w:rPr>
          <w:rFonts w:hint="eastAsia" w:ascii="宋体" w:hAnsi="宋体" w:eastAsia="宋体" w:cs="宋体"/>
          <w:sz w:val="24"/>
          <w:szCs w:val="24"/>
        </w:rPr>
        <w:t xml:space="preserve">（甲方预留印鉴）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（甲方授权代表预留签字）</w:t>
      </w:r>
    </w:p>
    <w:p w14:paraId="714E8641">
      <w:pPr>
        <w:pStyle w:val="4"/>
        <w:bidi w:val="0"/>
        <w:ind w:firstLine="480" w:firstLineChars="200"/>
        <w:rPr>
          <w:rFonts w:hint="eastAsia"/>
        </w:rPr>
      </w:pPr>
      <w:r>
        <w:rPr>
          <w:rFonts w:hint="eastAsia"/>
        </w:rPr>
        <w:t>甲方接受、发出本协议项下涉及单据、函件（含附件）等文件的指定联系方式为：</w:t>
      </w:r>
    </w:p>
    <w:p w14:paraId="3BC15A4A">
      <w:pPr>
        <w:pStyle w:val="4"/>
        <w:bidi w:val="0"/>
        <w:rPr>
          <w:rFonts w:hint="eastAsia"/>
        </w:rPr>
      </w:pPr>
      <w:r>
        <w:rPr>
          <w:rFonts w:hint="eastAsia"/>
        </w:rPr>
        <w:t>联系地址：</w:t>
      </w:r>
    </w:p>
    <w:p w14:paraId="61FEC9E5">
      <w:pPr>
        <w:pStyle w:val="4"/>
        <w:bidi w:val="0"/>
        <w:rPr>
          <w:rFonts w:hint="eastAsia"/>
          <w:lang w:val="en-US" w:eastAsia="zh-CN"/>
        </w:rPr>
      </w:pPr>
      <w:r>
        <w:rPr>
          <w:rFonts w:hint="eastAsia"/>
        </w:rPr>
        <w:t>甲方授权代表1姓名：</w:t>
      </w:r>
      <w:r>
        <w:rPr>
          <w:rFonts w:hint="eastAsia"/>
          <w:lang w:val="en-US" w:eastAsia="zh-CN"/>
        </w:rPr>
        <w:t>张建</w:t>
      </w:r>
    </w:p>
    <w:p w14:paraId="5632D28B">
      <w:pPr>
        <w:pStyle w:val="4"/>
        <w:bidi w:val="0"/>
        <w:rPr>
          <w:rFonts w:hint="default"/>
          <w:lang w:val="en-US" w:eastAsia="zh-CN"/>
        </w:rPr>
      </w:pPr>
      <w:r>
        <w:rPr>
          <w:rFonts w:hint="eastAsia"/>
        </w:rPr>
        <w:t xml:space="preserve">授权人公民身份号码： </w:t>
      </w:r>
      <w:r>
        <w:rPr>
          <w:rFonts w:hint="eastAsia"/>
          <w:lang w:val="en-US" w:eastAsia="zh-CN"/>
        </w:rPr>
        <w:t>511011198605234739</w:t>
      </w:r>
    </w:p>
    <w:p w14:paraId="7228CC08">
      <w:pPr>
        <w:pStyle w:val="4"/>
        <w:bidi w:val="0"/>
        <w:rPr>
          <w:rFonts w:hint="default"/>
          <w:lang w:val="en-US" w:eastAsia="zh-CN"/>
        </w:rPr>
      </w:pPr>
      <w:r>
        <w:rPr>
          <w:rFonts w:hint="eastAsia"/>
        </w:rPr>
        <w:t>联系电话：</w:t>
      </w:r>
      <w:r>
        <w:rPr>
          <w:rFonts w:hint="eastAsia"/>
          <w:lang w:val="en-US" w:eastAsia="zh-CN"/>
        </w:rPr>
        <w:t>18283313870</w:t>
      </w:r>
    </w:p>
    <w:p w14:paraId="238C0040">
      <w:pPr>
        <w:pStyle w:val="4"/>
        <w:bidi w:val="0"/>
        <w:rPr>
          <w:rFonts w:hint="default"/>
          <w:lang w:val="en-US" w:eastAsia="zh-CN"/>
        </w:rPr>
      </w:pPr>
      <w:r>
        <w:rPr>
          <w:rFonts w:hint="eastAsia"/>
        </w:rPr>
        <w:t>甲方授权代表2姓名：</w:t>
      </w:r>
      <w:r>
        <w:rPr>
          <w:rFonts w:hint="eastAsia"/>
          <w:lang w:val="en-US" w:eastAsia="zh-CN"/>
        </w:rPr>
        <w:t>尹欣荣</w:t>
      </w:r>
    </w:p>
    <w:p w14:paraId="40D27618">
      <w:pPr>
        <w:pStyle w:val="4"/>
        <w:bidi w:val="0"/>
        <w:rPr>
          <w:rFonts w:hint="default" w:eastAsia="宋体"/>
          <w:lang w:val="en-US" w:eastAsia="zh-CN"/>
        </w:rPr>
      </w:pPr>
      <w:r>
        <w:rPr>
          <w:rFonts w:hint="eastAsia"/>
        </w:rPr>
        <w:t>授权人公民身份号码：</w:t>
      </w:r>
      <w:r>
        <w:rPr>
          <w:rFonts w:hint="eastAsia"/>
          <w:lang w:val="en-US" w:eastAsia="zh-CN"/>
        </w:rPr>
        <w:t>511126200001172135</w:t>
      </w:r>
    </w:p>
    <w:p w14:paraId="2F367B05">
      <w:pPr>
        <w:pStyle w:val="4"/>
        <w:bidi w:val="0"/>
      </w:pPr>
      <w:r>
        <w:rPr>
          <w:rFonts w:hint="eastAsia"/>
        </w:rPr>
        <w:t>联系电话</w:t>
      </w:r>
      <w:r>
        <w:rPr>
          <w:rFonts w:hint="eastAsia"/>
          <w:lang w:eastAsia="zh-CN"/>
        </w:rPr>
        <w:t>：</w:t>
      </w:r>
      <w:r>
        <w:rPr>
          <w:rFonts w:hint="eastAsia"/>
        </w:rPr>
        <w:t xml:space="preserve"> </w:t>
      </w:r>
      <w:r>
        <w:rPr>
          <w:rFonts w:hint="eastAsia"/>
          <w:lang w:val="en-US" w:eastAsia="zh-CN"/>
        </w:rPr>
        <w:t>13281328001</w:t>
      </w:r>
    </w:p>
    <w:p w14:paraId="0BF07EDC">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乙方必须听从甲方现场工作人员的安排并负责卸货。乙方对于进入工地送货并卸货的人员，做好安全交底，遵守甲方工地的安全文明施工规定，听从项目工作人员的指挥和安排，否则，发生的一切人身及财产损失，由乙方自行负责与承担，因此给甲方项目造成损失的，赔偿甲方一切损失。</w:t>
      </w:r>
    </w:p>
    <w:p w14:paraId="205609B3">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2.4本合同项下的货物意外毁损、灭失的风险承担:货物由乙方送交甲方指定的交货地点,经甲方验收合格,并办理书面验收手续等其他必办手续后,该货物的毁损、灭失的风险由乙方直接转移至甲方。在验收移交之前的任何其他方式造成的毁损、灭失而产生的一切后果全部由乙方承担。</w:t>
      </w:r>
    </w:p>
    <w:p w14:paraId="1BEA56B4">
      <w:pPr>
        <w:spacing w:line="360" w:lineRule="auto"/>
        <w:ind w:firstLine="482" w:firstLineChars="200"/>
        <w:jc w:val="left"/>
        <w:rPr>
          <w:rFonts w:hAnsi="宋体" w:cs="仿宋"/>
          <w:b/>
          <w:bCs/>
          <w:color w:val="auto"/>
          <w:sz w:val="24"/>
          <w:szCs w:val="24"/>
          <w:highlight w:val="none"/>
        </w:rPr>
      </w:pPr>
      <w:r>
        <w:rPr>
          <w:rFonts w:hAnsi="宋体" w:cs="仿宋"/>
          <w:b/>
          <w:bCs/>
          <w:color w:val="auto"/>
          <w:sz w:val="24"/>
          <w:szCs w:val="24"/>
          <w:highlight w:val="none"/>
        </w:rPr>
        <w:t>三、运输方式及费用：</w:t>
      </w:r>
    </w:p>
    <w:p w14:paraId="5621FC23">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3.1由乙方（供方）组织运输，运费由乙方（供方）承担，由乙方（供方）组织卸车，卸车费由乙方（供方）承担。</w:t>
      </w:r>
    </w:p>
    <w:p w14:paraId="1701A3DC">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3.2乙方（供方）必须无偿配合甲方（需方）卸货时间及地点安排，并由乙方（供方）负责送货车辆顺利进场及安全卸货。</w:t>
      </w:r>
    </w:p>
    <w:p w14:paraId="1982676E">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3.3结算价格均为一票制结算。</w:t>
      </w:r>
    </w:p>
    <w:p w14:paraId="04023D13">
      <w:pPr>
        <w:spacing w:line="360" w:lineRule="auto"/>
        <w:ind w:firstLine="482" w:firstLineChars="200"/>
        <w:jc w:val="left"/>
        <w:rPr>
          <w:rFonts w:hAnsi="宋体" w:cs="仿宋"/>
          <w:b/>
          <w:bCs/>
          <w:color w:val="auto"/>
          <w:sz w:val="24"/>
          <w:szCs w:val="24"/>
          <w:highlight w:val="none"/>
        </w:rPr>
      </w:pPr>
      <w:r>
        <w:rPr>
          <w:rFonts w:hAnsi="宋体" w:cs="仿宋"/>
          <w:b/>
          <w:bCs/>
          <w:color w:val="auto"/>
          <w:sz w:val="24"/>
          <w:szCs w:val="24"/>
          <w:highlight w:val="none"/>
        </w:rPr>
        <w:t>四、价格模式与结算：</w:t>
      </w:r>
    </w:p>
    <w:p w14:paraId="01C6A2A7">
      <w:pPr>
        <w:widowControl/>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4.1本合同中各类材料设备采购价格包含生产准备、生产、运输、装卸及现场指导服务等全过程所产生的所有成本和费用以及一切税费，应当认为乙方已经彻底查清，并在合同价格中全面并充分考虑到以下几项：</w:t>
      </w:r>
    </w:p>
    <w:p w14:paraId="34AC32D5">
      <w:pPr>
        <w:widowControl/>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（1）影响到合同价格的全部条件和情况；</w:t>
      </w:r>
    </w:p>
    <w:p w14:paraId="60EE58A6">
      <w:pPr>
        <w:widowControl/>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（2）考虑到现场的各种情况，所采用的各种不同的卸货方式；</w:t>
      </w:r>
    </w:p>
    <w:p w14:paraId="54995AE2">
      <w:pPr>
        <w:widowControl/>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（3）其它现场的综合情况。</w:t>
      </w:r>
    </w:p>
    <w:p w14:paraId="29794F7E">
      <w:pPr>
        <w:widowControl/>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4.2合同暂定总量及总金额</w:t>
      </w:r>
    </w:p>
    <w:p w14:paraId="29ED4B45">
      <w:pPr>
        <w:widowControl/>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本合同标的设备供应“暂定总量”为</w:t>
      </w:r>
      <w:r>
        <w:rPr>
          <w:rFonts w:hAnsi="宋体" w:cs="仿宋"/>
          <w:color w:val="auto"/>
          <w:sz w:val="24"/>
          <w:szCs w:val="24"/>
          <w:highlight w:val="none"/>
          <w:u w:val="single"/>
        </w:rPr>
        <w:t xml:space="preserve"> 1.2条款清单</w:t>
      </w:r>
      <w:r>
        <w:rPr>
          <w:rFonts w:hAnsi="宋体" w:cs="仿宋"/>
          <w:color w:val="auto"/>
          <w:sz w:val="24"/>
          <w:szCs w:val="24"/>
          <w:highlight w:val="none"/>
        </w:rPr>
        <w:t>；各类标累计供应总量不得超过合同“暂定总量”；本合同标供应“暂定总金额”（含税）为</w:t>
      </w:r>
      <w:r>
        <w:rPr>
          <w:rFonts w:hAnsi="宋体" w:cs="仿宋"/>
          <w:color w:val="auto"/>
          <w:sz w:val="24"/>
          <w:szCs w:val="24"/>
          <w:highlight w:val="none"/>
          <w:u w:val="single"/>
        </w:rPr>
        <w:t xml:space="preserve"> </w:t>
      </w:r>
      <w:r>
        <w:rPr>
          <w:rFonts w:hint="eastAsia" w:hAnsi="宋体" w:cs="仿宋"/>
          <w:color w:val="auto"/>
          <w:sz w:val="24"/>
          <w:szCs w:val="24"/>
          <w:highlight w:val="none"/>
          <w:u w:val="single"/>
          <w:lang w:val="en-US" w:eastAsia="zh-CN"/>
        </w:rPr>
        <w:t xml:space="preserve">          </w:t>
      </w:r>
      <w:r>
        <w:rPr>
          <w:rFonts w:hAnsi="宋体" w:cs="仿宋"/>
          <w:color w:val="auto"/>
          <w:sz w:val="24"/>
          <w:szCs w:val="24"/>
          <w:highlight w:val="none"/>
          <w:u w:val="single"/>
        </w:rPr>
        <w:t xml:space="preserve"> </w:t>
      </w:r>
      <w:r>
        <w:rPr>
          <w:rFonts w:hAnsi="宋体" w:cs="仿宋"/>
          <w:color w:val="auto"/>
          <w:sz w:val="24"/>
          <w:szCs w:val="24"/>
          <w:highlight w:val="none"/>
        </w:rPr>
        <w:t>元；在“暂定总量”范围内，设备供应量以甲方施工现场签收累计实际数量为准。</w:t>
      </w:r>
    </w:p>
    <w:p w14:paraId="3DC2DB8D">
      <w:pPr>
        <w:widowControl/>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4.3乙方须承担为履行此合同在中华人民共和国境内所必须缴纳的一切直接或间接税费及规费，包括但不限于增值税、企业所得税、个人所得税等以及国家及地方政府规定的其它一切税收及费用。此等税费及规费应已包括于合同价格和合同约定的各种款项内以及可能涉及的合同价格调整。</w:t>
      </w:r>
    </w:p>
    <w:p w14:paraId="1B68E142">
      <w:pPr>
        <w:widowControl/>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合同期内，如遇国家税制改革带来的税种及税率的变化，不含税单价不变，税额部分根据国家税率、纳税人身份进行调整；如由于乙方自身纳税人身份、纳税方式等原因带来的税种及税率的变化，非经甲方书面同意，合同价格不予调整。当乙方开具的发票产生税务异常时，甲方有权按异常发票金额的25%，暂扣乙方款项作为风险抵押金，税务机关通知解除异常通知或五年内确认发票无问题再退还。</w:t>
      </w:r>
    </w:p>
    <w:p w14:paraId="07082D36">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4.4本合同设备结算价格按</w:t>
      </w:r>
      <w:r>
        <w:rPr>
          <w:rFonts w:hAnsi="宋体" w:cs="仿宋"/>
          <w:color w:val="auto"/>
          <w:sz w:val="24"/>
          <w:szCs w:val="24"/>
          <w:highlight w:val="none"/>
          <w:u w:val="single"/>
        </w:rPr>
        <w:t xml:space="preserve"> （1） </w:t>
      </w:r>
      <w:r>
        <w:rPr>
          <w:rFonts w:hAnsi="宋体" w:cs="仿宋"/>
          <w:color w:val="auto"/>
          <w:sz w:val="24"/>
          <w:szCs w:val="24"/>
          <w:highlight w:val="none"/>
        </w:rPr>
        <w:t>方式结算：</w:t>
      </w:r>
    </w:p>
    <w:p w14:paraId="27E7D372">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（1）第一条中确定各类设备的采购固定单价为最终结算价格；</w:t>
      </w:r>
    </w:p>
    <w:p w14:paraId="7BC8FCEC">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（2）本协议4.4.1约定网站信息价联动调整后双方确定价格为最终结算价格。</w:t>
      </w:r>
    </w:p>
    <w:p w14:paraId="6CDD3190">
      <w:pPr>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（3）在第一条中确定的单价基础上，若供货期间夹江县当地市场原材料的价格变化超过±5%的，双发均可对超出±5%部分进行材料调差，经双方协商一致后签订合同补充协议，以确定最终结算单价。</w:t>
      </w:r>
    </w:p>
    <w:p w14:paraId="6C0DF65F">
      <w:pPr>
        <w:spacing w:line="360" w:lineRule="auto"/>
        <w:ind w:firstLine="480" w:firstLineChars="200"/>
        <w:jc w:val="left"/>
        <w:rPr>
          <w:rFonts w:hAnsi="宋体" w:cs="仿宋"/>
          <w:color w:val="auto"/>
          <w:sz w:val="24"/>
          <w:szCs w:val="24"/>
          <w:highlight w:val="none"/>
          <w:u w:val="single"/>
        </w:rPr>
      </w:pPr>
      <w:r>
        <w:rPr>
          <w:rFonts w:hAnsi="宋体" w:cs="仿宋"/>
          <w:color w:val="auto"/>
          <w:sz w:val="24"/>
          <w:szCs w:val="24"/>
          <w:highlight w:val="none"/>
        </w:rPr>
        <w:t>（4）其他：</w:t>
      </w:r>
      <w:r>
        <w:rPr>
          <w:rFonts w:hAnsi="宋体" w:cs="仿宋"/>
          <w:color w:val="auto"/>
          <w:sz w:val="24"/>
          <w:szCs w:val="24"/>
          <w:highlight w:val="none"/>
          <w:u w:val="single"/>
        </w:rPr>
        <w:t xml:space="preserve">          </w:t>
      </w:r>
      <w:r>
        <w:rPr>
          <w:rFonts w:hint="eastAsia" w:hAnsi="宋体" w:cs="仿宋"/>
          <w:color w:val="auto"/>
          <w:sz w:val="24"/>
          <w:szCs w:val="24"/>
          <w:highlight w:val="none"/>
          <w:u w:val="single"/>
          <w:lang w:val="en-US" w:eastAsia="zh-CN"/>
        </w:rPr>
        <w:t>/</w:t>
      </w:r>
      <w:r>
        <w:rPr>
          <w:rFonts w:hAnsi="宋体" w:cs="仿宋"/>
          <w:color w:val="auto"/>
          <w:sz w:val="24"/>
          <w:szCs w:val="24"/>
          <w:highlight w:val="none"/>
          <w:u w:val="single"/>
        </w:rPr>
        <w:t xml:space="preserve">              </w:t>
      </w:r>
    </w:p>
    <w:p w14:paraId="3C072081">
      <w:pPr>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4.1产品在出厂时国家强制要求必须完成相关检验试验程序后、出具产品相关合格证明报告，此项工作如产生相关费用，费用由乙方承担。具有合格产品证明的进场材料送检发生的工料和监测费用无需乙方承担。</w:t>
      </w:r>
    </w:p>
    <w:p w14:paraId="635CEE1F">
      <w:pPr>
        <w:spacing w:line="360" w:lineRule="auto"/>
        <w:ind w:firstLine="482" w:firstLineChars="200"/>
        <w:jc w:val="left"/>
        <w:rPr>
          <w:rFonts w:hAnsi="宋体" w:cs="仿宋"/>
          <w:color w:val="auto"/>
          <w:sz w:val="24"/>
          <w:szCs w:val="24"/>
          <w:highlight w:val="none"/>
        </w:rPr>
      </w:pPr>
      <w:r>
        <w:rPr>
          <w:rFonts w:hAnsi="宋体" w:cs="仿宋"/>
          <w:b/>
          <w:bCs/>
          <w:color w:val="auto"/>
          <w:sz w:val="24"/>
          <w:szCs w:val="24"/>
          <w:highlight w:val="none"/>
        </w:rPr>
        <w:t>五、结算方式及付款</w:t>
      </w:r>
      <w:r>
        <w:rPr>
          <w:rFonts w:hAnsi="宋体" w:cs="仿宋"/>
          <w:color w:val="auto"/>
          <w:sz w:val="24"/>
          <w:szCs w:val="24"/>
          <w:highlight w:val="none"/>
        </w:rPr>
        <w:t>：</w:t>
      </w:r>
    </w:p>
    <w:p w14:paraId="6032EEC1">
      <w:pPr>
        <w:pStyle w:val="18"/>
        <w:spacing w:line="360" w:lineRule="auto"/>
        <w:ind w:firstLine="560"/>
        <w:rPr>
          <w:rFonts w:ascii="宋体" w:hAnsi="宋体" w:cs="仿宋"/>
          <w:color w:val="auto"/>
          <w:sz w:val="24"/>
          <w:szCs w:val="24"/>
          <w:highlight w:val="none"/>
        </w:rPr>
      </w:pPr>
      <w:r>
        <w:rPr>
          <w:rFonts w:ascii="宋体" w:hAnsi="宋体" w:cs="仿宋"/>
          <w:color w:val="auto"/>
          <w:sz w:val="24"/>
          <w:szCs w:val="24"/>
          <w:highlight w:val="none"/>
        </w:rPr>
        <w:t>5.1付款方式：</w:t>
      </w:r>
      <w:bookmarkStart w:id="1" w:name="OLE_LINK11"/>
      <w:r>
        <w:rPr>
          <w:rFonts w:ascii="宋体" w:hAnsi="宋体" w:cs="仿宋"/>
          <w:color w:val="auto"/>
          <w:sz w:val="24"/>
          <w:szCs w:val="24"/>
          <w:highlight w:val="none"/>
        </w:rPr>
        <w:t>乙方垫资供货，货到现场经验收合格后，每月25日前对数确认当月货款，双方确认后一个月内付款到该笔货款的80%，</w:t>
      </w:r>
      <w:r>
        <w:rPr>
          <w:rFonts w:hint="eastAsia" w:ascii="宋体" w:hAnsi="宋体" w:cs="仿宋"/>
          <w:color w:val="auto"/>
          <w:sz w:val="24"/>
          <w:szCs w:val="24"/>
          <w:highlight w:val="none"/>
          <w:lang w:val="en-US" w:eastAsia="zh-CN"/>
        </w:rPr>
        <w:t>供货完毕办完最终结算后3个月内支付至结算金额的97%，剩余3%结算尾款在项目验收完成后3个月内无息一次支付。</w:t>
      </w:r>
      <w:r>
        <w:rPr>
          <w:rFonts w:ascii="宋体" w:hAnsi="宋体" w:cs="仿宋"/>
          <w:color w:val="auto"/>
          <w:sz w:val="24"/>
          <w:szCs w:val="24"/>
          <w:highlight w:val="none"/>
        </w:rPr>
        <w:t>付款前，乙方须向甲方提供本次金额的合法一般纳税人增值税专用发票（财务见票付款）。若遇到甲方资金延迟支付的情况，乙方不能以此为由暂停供货，甲方不承担其它资金占用费或滞纳金。</w:t>
      </w:r>
    </w:p>
    <w:bookmarkEnd w:id="1"/>
    <w:p w14:paraId="4AA80C39">
      <w:pPr>
        <w:pStyle w:val="18"/>
        <w:spacing w:line="360" w:lineRule="auto"/>
        <w:ind w:firstLine="560"/>
        <w:rPr>
          <w:rFonts w:ascii="宋体" w:hAnsi="宋体" w:cs="仿宋"/>
          <w:color w:val="auto"/>
          <w:sz w:val="24"/>
          <w:szCs w:val="24"/>
          <w:highlight w:val="none"/>
        </w:rPr>
      </w:pPr>
      <w:r>
        <w:rPr>
          <w:rFonts w:ascii="宋体" w:hAnsi="宋体" w:cs="仿宋"/>
          <w:color w:val="auto"/>
          <w:sz w:val="24"/>
          <w:szCs w:val="24"/>
          <w:highlight w:val="none"/>
        </w:rPr>
        <w:t>乙方每个供货周期内（上月 19 日至本 18 日）所供货物的数量和货款，按照该供货周期内《送货单》上所签认的数量和第四条条款所确定的结算价格，以《物资采购月度结算单》见附件2形式进行核对。每月结算须经过甲方</w:t>
      </w:r>
      <w:r>
        <w:rPr>
          <w:rFonts w:hint="eastAsia" w:ascii="宋体" w:hAnsi="宋体" w:cs="仿宋"/>
          <w:color w:val="auto"/>
          <w:sz w:val="24"/>
          <w:szCs w:val="24"/>
          <w:highlight w:val="none"/>
          <w:lang w:val="en-US" w:eastAsia="zh-CN"/>
        </w:rPr>
        <w:t>指定</w:t>
      </w:r>
      <w:r>
        <w:rPr>
          <w:rFonts w:ascii="宋体" w:hAnsi="宋体" w:cs="仿宋"/>
          <w:color w:val="auto"/>
          <w:sz w:val="24"/>
          <w:szCs w:val="24"/>
          <w:highlight w:val="none"/>
        </w:rPr>
        <w:t>负责人签名确认盖章后生效；总结算单由乙方发起并完善签名盖章手续后申报，由甲方</w:t>
      </w:r>
      <w:r>
        <w:rPr>
          <w:rFonts w:hint="eastAsia" w:ascii="宋体" w:hAnsi="宋体" w:cs="仿宋"/>
          <w:color w:val="auto"/>
          <w:sz w:val="24"/>
          <w:szCs w:val="24"/>
          <w:highlight w:val="none"/>
          <w:lang w:val="en-US" w:eastAsia="zh-CN"/>
        </w:rPr>
        <w:t>指定负责人</w:t>
      </w:r>
      <w:r>
        <w:rPr>
          <w:rFonts w:ascii="宋体" w:hAnsi="宋体" w:cs="仿宋"/>
          <w:color w:val="auto"/>
          <w:sz w:val="24"/>
          <w:szCs w:val="24"/>
          <w:highlight w:val="none"/>
        </w:rPr>
        <w:t>完成签名审批，出具结算确认表双方盖章后生效。</w:t>
      </w:r>
    </w:p>
    <w:p w14:paraId="1679C3D1">
      <w:pPr>
        <w:pStyle w:val="18"/>
        <w:spacing w:line="360" w:lineRule="auto"/>
        <w:ind w:firstLine="560"/>
        <w:rPr>
          <w:rFonts w:ascii="宋体" w:hAnsi="宋体" w:cs="仿宋"/>
          <w:color w:val="auto"/>
          <w:sz w:val="24"/>
          <w:szCs w:val="24"/>
          <w:highlight w:val="none"/>
        </w:rPr>
      </w:pPr>
      <w:r>
        <w:rPr>
          <w:rFonts w:ascii="宋体" w:hAnsi="宋体" w:cs="仿宋"/>
          <w:color w:val="auto"/>
          <w:sz w:val="24"/>
          <w:szCs w:val="24"/>
          <w:highlight w:val="none"/>
        </w:rPr>
        <w:t>乙方须在甲方根据本合同支付各种款项前，依法按照适用的增值税税率向甲方开具当期结算金额的等额的合法有效的增值税发票，以及近期的《税收完税证明》。乙方提供的增值税发票若存在虚假情况的，由此造成甲方的一切经济损失和法律责任均由乙方承担，乙方尚须按虚假发票面额支付违约金给甲方。</w:t>
      </w:r>
    </w:p>
    <w:p w14:paraId="3239039B">
      <w:pPr>
        <w:pStyle w:val="18"/>
        <w:spacing w:line="360" w:lineRule="auto"/>
        <w:ind w:firstLine="560"/>
        <w:rPr>
          <w:rFonts w:ascii="宋体" w:hAnsi="宋体" w:cs="仿宋"/>
          <w:color w:val="auto"/>
          <w:sz w:val="24"/>
          <w:szCs w:val="24"/>
          <w:highlight w:val="none"/>
        </w:rPr>
      </w:pPr>
      <w:r>
        <w:rPr>
          <w:rFonts w:ascii="宋体" w:hAnsi="宋体" w:cs="仿宋"/>
          <w:color w:val="auto"/>
          <w:sz w:val="24"/>
          <w:szCs w:val="24"/>
          <w:highlight w:val="none"/>
        </w:rPr>
        <w:t>货款支付方式：现汇、支票、银行承兑汇票、国内信用证、商业承兑汇票及各银行的应付账款融资产品等；国内证付款期限为180天。</w:t>
      </w:r>
    </w:p>
    <w:p w14:paraId="423106CC">
      <w:pPr>
        <w:pStyle w:val="18"/>
        <w:spacing w:line="360" w:lineRule="auto"/>
        <w:ind w:firstLine="560"/>
        <w:rPr>
          <w:rFonts w:ascii="宋体" w:hAnsi="宋体" w:cs="仿宋"/>
          <w:color w:val="auto"/>
          <w:sz w:val="24"/>
          <w:szCs w:val="24"/>
          <w:highlight w:val="none"/>
          <w:u w:val="single"/>
        </w:rPr>
      </w:pPr>
      <w:r>
        <w:rPr>
          <w:rFonts w:ascii="宋体" w:hAnsi="宋体" w:cs="仿宋"/>
          <w:color w:val="auto"/>
          <w:sz w:val="24"/>
          <w:szCs w:val="24"/>
          <w:highlight w:val="none"/>
        </w:rPr>
        <w:t>5.2其他约定：</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lang w:val="en-US" w:eastAsia="zh-CN"/>
        </w:rPr>
        <w:t>/</w:t>
      </w:r>
      <w:r>
        <w:rPr>
          <w:rFonts w:ascii="宋体" w:hAnsi="宋体" w:cs="仿宋"/>
          <w:color w:val="auto"/>
          <w:sz w:val="24"/>
          <w:szCs w:val="24"/>
          <w:highlight w:val="none"/>
          <w:u w:val="single"/>
        </w:rPr>
        <w:t xml:space="preserve">             </w:t>
      </w:r>
    </w:p>
    <w:p w14:paraId="2958128D">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5.3乙方不得以各种理由（如供货项目地点偏远、品种缺失、节假日等）停止供货，由此而影响甲方工程进度而造成的损失，需由乙方负责；若遇到甲方资金延迟支付的情况，乙方不能以此为由暂停供货，甲方不承担其它资金占用费或滞纳金。</w:t>
      </w:r>
    </w:p>
    <w:p w14:paraId="49CBF9B4">
      <w:pPr>
        <w:spacing w:line="360" w:lineRule="auto"/>
        <w:ind w:firstLine="480" w:firstLineChars="200"/>
        <w:rPr>
          <w:rFonts w:hAnsi="宋体" w:cs="仿宋"/>
          <w:b/>
          <w:bCs/>
          <w:color w:val="auto"/>
          <w:sz w:val="24"/>
          <w:szCs w:val="24"/>
          <w:highlight w:val="none"/>
        </w:rPr>
      </w:pPr>
      <w:r>
        <w:rPr>
          <w:rFonts w:hAnsi="宋体" w:cs="仿宋"/>
          <w:color w:val="auto"/>
          <w:sz w:val="24"/>
          <w:szCs w:val="24"/>
          <w:highlight w:val="none"/>
        </w:rPr>
        <w:t>六、</w:t>
      </w:r>
      <w:r>
        <w:rPr>
          <w:rFonts w:hAnsi="宋体" w:cs="仿宋"/>
          <w:b/>
          <w:bCs/>
          <w:color w:val="auto"/>
          <w:sz w:val="24"/>
          <w:szCs w:val="24"/>
          <w:highlight w:val="none"/>
        </w:rPr>
        <w:t>支付账户及发票</w:t>
      </w:r>
    </w:p>
    <w:p w14:paraId="161A1E4C">
      <w:pPr>
        <w:spacing w:line="360" w:lineRule="auto"/>
        <w:ind w:firstLine="480" w:firstLineChars="200"/>
        <w:rPr>
          <w:rFonts w:hint="default" w:hAnsi="宋体" w:eastAsia="宋体" w:cs="仿宋"/>
          <w:color w:val="auto"/>
          <w:sz w:val="24"/>
          <w:szCs w:val="24"/>
          <w:highlight w:val="none"/>
          <w:lang w:val="en-US" w:eastAsia="zh-CN"/>
        </w:rPr>
      </w:pPr>
      <w:r>
        <w:rPr>
          <w:rFonts w:hAnsi="宋体" w:cs="仿宋"/>
          <w:color w:val="auto"/>
          <w:sz w:val="24"/>
          <w:szCs w:val="24"/>
          <w:highlight w:val="none"/>
        </w:rPr>
        <w:t>乙方收款账户：</w:t>
      </w:r>
      <w:r>
        <w:rPr>
          <w:rFonts w:hint="eastAsia" w:hAnsi="宋体" w:cs="仿宋"/>
          <w:color w:val="auto"/>
          <w:sz w:val="24"/>
          <w:szCs w:val="24"/>
          <w:highlight w:val="none"/>
          <w:lang w:val="en-US" w:eastAsia="zh-CN"/>
        </w:rPr>
        <w:t>夹江县润泽商贸有限公司</w:t>
      </w:r>
    </w:p>
    <w:p w14:paraId="51D3C2EF">
      <w:pPr>
        <w:spacing w:after="120" w:afterLines="50" w:line="360" w:lineRule="auto"/>
        <w:ind w:firstLine="480" w:firstLineChars="200"/>
        <w:rPr>
          <w:rFonts w:hAnsi="宋体" w:cs="仿宋"/>
          <w:color w:val="auto"/>
          <w:sz w:val="24"/>
          <w:szCs w:val="24"/>
          <w:highlight w:val="none"/>
          <w:u w:val="single"/>
        </w:rPr>
      </w:pPr>
      <w:r>
        <w:rPr>
          <w:rFonts w:hAnsi="宋体" w:cs="仿宋"/>
          <w:color w:val="auto"/>
          <w:sz w:val="24"/>
          <w:szCs w:val="24"/>
          <w:highlight w:val="none"/>
        </w:rPr>
        <w:t>乙方统一社会信用代码：</w:t>
      </w:r>
      <w:r>
        <w:rPr>
          <w:rFonts w:hint="eastAsia" w:hAnsi="宋体" w:cs="仿宋"/>
          <w:color w:val="auto"/>
          <w:sz w:val="24"/>
          <w:szCs w:val="24"/>
          <w:highlight w:val="none"/>
        </w:rPr>
        <w:t>91511126MACJ4H6109</w:t>
      </w:r>
    </w:p>
    <w:p w14:paraId="733E8FD7">
      <w:pPr>
        <w:spacing w:after="120" w:afterLines="50" w:line="360" w:lineRule="auto"/>
        <w:ind w:firstLine="480" w:firstLineChars="200"/>
        <w:rPr>
          <w:rFonts w:hAnsi="宋体" w:cs="仿宋"/>
          <w:color w:val="auto"/>
          <w:sz w:val="24"/>
          <w:szCs w:val="24"/>
          <w:highlight w:val="none"/>
          <w:u w:val="single"/>
        </w:rPr>
      </w:pPr>
      <w:r>
        <w:rPr>
          <w:rFonts w:hAnsi="宋体" w:cs="仿宋"/>
          <w:color w:val="auto"/>
          <w:sz w:val="24"/>
          <w:szCs w:val="24"/>
          <w:highlight w:val="none"/>
        </w:rPr>
        <w:t>乙方注册地址：</w:t>
      </w:r>
      <w:r>
        <w:rPr>
          <w:rFonts w:hint="eastAsia" w:hAnsi="宋体" w:cs="仿宋"/>
          <w:color w:val="auto"/>
          <w:sz w:val="24"/>
          <w:szCs w:val="24"/>
          <w:highlight w:val="none"/>
        </w:rPr>
        <w:t>四川省乐山市夹江县漹城街道拥军路108号</w:t>
      </w:r>
    </w:p>
    <w:p w14:paraId="111598C8">
      <w:pPr>
        <w:spacing w:line="360" w:lineRule="auto"/>
        <w:ind w:firstLine="480" w:firstLineChars="200"/>
        <w:rPr>
          <w:rFonts w:hAnsi="宋体" w:cs="仿宋"/>
          <w:color w:val="auto"/>
          <w:sz w:val="24"/>
          <w:szCs w:val="24"/>
          <w:highlight w:val="none"/>
          <w:u w:val="single"/>
        </w:rPr>
      </w:pPr>
      <w:r>
        <w:rPr>
          <w:rFonts w:hAnsi="宋体" w:cs="仿宋"/>
          <w:color w:val="auto"/>
          <w:sz w:val="24"/>
          <w:szCs w:val="24"/>
          <w:highlight w:val="none"/>
        </w:rPr>
        <w:t>收款单位：</w:t>
      </w:r>
      <w:r>
        <w:rPr>
          <w:rFonts w:hint="eastAsia" w:hAnsi="宋体" w:cs="仿宋"/>
          <w:color w:val="auto"/>
          <w:sz w:val="24"/>
          <w:szCs w:val="24"/>
          <w:highlight w:val="none"/>
          <w:lang w:val="en-US" w:eastAsia="zh-CN"/>
        </w:rPr>
        <w:t>夹江县润泽商贸有限公司</w:t>
      </w:r>
    </w:p>
    <w:p w14:paraId="5D3866B4">
      <w:pPr>
        <w:spacing w:line="360" w:lineRule="auto"/>
        <w:ind w:firstLine="480" w:firstLineChars="200"/>
        <w:rPr>
          <w:rFonts w:hAnsi="宋体" w:cs="仿宋"/>
          <w:color w:val="auto"/>
          <w:sz w:val="24"/>
          <w:szCs w:val="24"/>
          <w:highlight w:val="none"/>
          <w:u w:val="single"/>
        </w:rPr>
      </w:pPr>
      <w:r>
        <w:rPr>
          <w:rFonts w:hAnsi="宋体" w:cs="仿宋"/>
          <w:color w:val="auto"/>
          <w:sz w:val="24"/>
          <w:szCs w:val="24"/>
          <w:highlight w:val="none"/>
        </w:rPr>
        <w:t>开户银行：</w:t>
      </w:r>
      <w:r>
        <w:rPr>
          <w:rFonts w:hint="eastAsia" w:hAnsi="宋体" w:cs="仿宋"/>
          <w:color w:val="auto"/>
          <w:sz w:val="24"/>
          <w:szCs w:val="24"/>
          <w:highlight w:val="none"/>
        </w:rPr>
        <w:t>乐山市商业银行股份有限公司夹江支行</w:t>
      </w:r>
    </w:p>
    <w:p w14:paraId="1B20C66F">
      <w:pPr>
        <w:spacing w:line="360" w:lineRule="auto"/>
        <w:ind w:firstLine="480" w:firstLineChars="200"/>
        <w:rPr>
          <w:rFonts w:hAnsi="宋体" w:cs="仿宋"/>
          <w:color w:val="auto"/>
          <w:sz w:val="24"/>
          <w:szCs w:val="24"/>
          <w:highlight w:val="none"/>
          <w:u w:val="single"/>
        </w:rPr>
      </w:pPr>
      <w:r>
        <w:rPr>
          <w:rFonts w:hAnsi="宋体" w:cs="仿宋"/>
          <w:color w:val="auto"/>
          <w:sz w:val="24"/>
          <w:szCs w:val="24"/>
          <w:highlight w:val="none"/>
        </w:rPr>
        <w:t>银行账号：</w:t>
      </w:r>
      <w:r>
        <w:rPr>
          <w:rFonts w:hint="eastAsia" w:hAnsi="宋体" w:cs="仿宋"/>
          <w:color w:val="auto"/>
          <w:sz w:val="24"/>
          <w:szCs w:val="24"/>
          <w:highlight w:val="none"/>
        </w:rPr>
        <w:t>020000512713</w:t>
      </w:r>
    </w:p>
    <w:p w14:paraId="7EBD99A2">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6.1付款条件和发票条款</w:t>
      </w:r>
    </w:p>
    <w:p w14:paraId="4D8A9F39">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乙方须向甲方提供符合甲方财务要求的真实、合法、有效的增值税专用发票并加盖发票专用章，否则，甲方将有权拒绝支付合同款项。</w:t>
      </w:r>
    </w:p>
    <w:p w14:paraId="4D571149">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6.1.1发票类型</w:t>
      </w:r>
    </w:p>
    <w:p w14:paraId="7387F265">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本合同仅适用增值税专用发票。</w:t>
      </w:r>
    </w:p>
    <w:p w14:paraId="6F851581">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乙方纳税人类型：</w:t>
      </w:r>
    </w:p>
    <w:p w14:paraId="529C80AE">
      <w:pPr>
        <w:spacing w:line="360" w:lineRule="auto"/>
        <w:ind w:firstLine="482" w:firstLineChars="200"/>
        <w:rPr>
          <w:rFonts w:hAnsi="宋体" w:cs="仿宋"/>
          <w:color w:val="auto"/>
          <w:sz w:val="24"/>
          <w:szCs w:val="24"/>
          <w:highlight w:val="none"/>
        </w:rPr>
      </w:pPr>
      <w:r>
        <w:rPr>
          <w:rFonts w:hAnsi="宋体" w:cs="仿宋"/>
          <w:b/>
          <w:bCs/>
          <w:color w:val="auto"/>
          <w:sz w:val="24"/>
          <w:szCs w:val="24"/>
          <w:highlight w:val="none"/>
        </w:rPr>
        <w:t>√</w:t>
      </w:r>
      <w:r>
        <w:rPr>
          <w:rFonts w:hAnsi="宋体" w:cs="仿宋"/>
          <w:color w:val="auto"/>
          <w:sz w:val="24"/>
          <w:szCs w:val="24"/>
          <w:highlight w:val="none"/>
        </w:rPr>
        <w:t>一般纳税人</w:t>
      </w:r>
    </w:p>
    <w:p w14:paraId="16447C7F">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□小规模纳税人</w:t>
      </w:r>
    </w:p>
    <w:p w14:paraId="60AB174C">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本合同发票适用的税率：</w:t>
      </w:r>
    </w:p>
    <w:p w14:paraId="3DA76B6D">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w:t>
      </w:r>
      <w:r>
        <w:rPr>
          <w:rFonts w:hAnsi="宋体" w:cs="仿宋"/>
          <w:color w:val="auto"/>
          <w:sz w:val="24"/>
          <w:szCs w:val="24"/>
          <w:highlight w:val="none"/>
          <w:u w:val="single"/>
        </w:rPr>
        <w:t xml:space="preserve"> 13 </w:t>
      </w:r>
      <w:r>
        <w:rPr>
          <w:rFonts w:hAnsi="宋体" w:cs="仿宋"/>
          <w:color w:val="auto"/>
          <w:sz w:val="24"/>
          <w:szCs w:val="24"/>
          <w:highlight w:val="none"/>
        </w:rPr>
        <w:t>%</w:t>
      </w:r>
    </w:p>
    <w:p w14:paraId="5781D665">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w:t>
      </w:r>
      <w:r>
        <w:rPr>
          <w:rFonts w:hAnsi="宋体" w:cs="仿宋"/>
          <w:color w:val="auto"/>
          <w:sz w:val="24"/>
          <w:szCs w:val="24"/>
          <w:highlight w:val="none"/>
          <w:u w:val="single"/>
        </w:rPr>
        <w:t xml:space="preserve"> 3 </w:t>
      </w:r>
      <w:r>
        <w:rPr>
          <w:rFonts w:hAnsi="宋体" w:cs="仿宋"/>
          <w:color w:val="auto"/>
          <w:sz w:val="24"/>
          <w:szCs w:val="24"/>
          <w:highlight w:val="none"/>
        </w:rPr>
        <w:t>%</w:t>
      </w:r>
    </w:p>
    <w:p w14:paraId="1C7519E8">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□其它：_____%</w:t>
      </w:r>
    </w:p>
    <w:p w14:paraId="197F97E1">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乙方应就约定的合同价款和价外费用（包括但不限于违约金、赔偿款等）之金额按适用税率向甲方开具合法有效的增值税专用发票。上述的增值税专用发票必须符合中国《增值税专用发票使用规定》等相关法律法规的相关要求。</w:t>
      </w:r>
    </w:p>
    <w:p w14:paraId="304D65AE">
      <w:pPr>
        <w:spacing w:line="360" w:lineRule="auto"/>
        <w:ind w:firstLine="480" w:firstLineChars="200"/>
        <w:rPr>
          <w:rFonts w:hAnsi="宋体" w:cs="仿宋"/>
          <w:b/>
          <w:bCs/>
          <w:color w:val="auto"/>
          <w:sz w:val="24"/>
          <w:szCs w:val="24"/>
          <w:highlight w:val="none"/>
        </w:rPr>
      </w:pPr>
      <w:r>
        <w:rPr>
          <w:rFonts w:hAnsi="宋体" w:cs="仿宋"/>
          <w:color w:val="auto"/>
          <w:sz w:val="24"/>
          <w:szCs w:val="24"/>
          <w:highlight w:val="none"/>
        </w:rPr>
        <w:t>6.1.2</w:t>
      </w:r>
      <w:r>
        <w:rPr>
          <w:rFonts w:hAnsi="宋体" w:cs="仿宋"/>
          <w:b/>
          <w:bCs/>
          <w:color w:val="auto"/>
          <w:sz w:val="24"/>
          <w:szCs w:val="24"/>
          <w:highlight w:val="none"/>
        </w:rPr>
        <w:t>发票内容</w:t>
      </w:r>
    </w:p>
    <w:p w14:paraId="40A8ABAC">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甲方开票信息如下：</w:t>
      </w:r>
    </w:p>
    <w:p w14:paraId="57BD6B98">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公司名称：</w:t>
      </w:r>
      <w:r>
        <w:rPr>
          <w:rFonts w:hint="eastAsia" w:hAnsi="宋体" w:cs="仿宋"/>
          <w:color w:val="auto"/>
          <w:sz w:val="24"/>
          <w:szCs w:val="24"/>
          <w:highlight w:val="none"/>
          <w:u w:val="single"/>
          <w:lang w:val="en-US" w:eastAsia="zh-CN"/>
        </w:rPr>
        <w:t>夹江县润泽商贸有限公司</w:t>
      </w:r>
    </w:p>
    <w:p w14:paraId="2651D4BE">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纳税人识别号：</w:t>
      </w:r>
      <w:r>
        <w:rPr>
          <w:rFonts w:hint="eastAsia" w:hAnsi="宋体" w:cs="仿宋"/>
          <w:color w:val="auto"/>
          <w:sz w:val="24"/>
          <w:szCs w:val="24"/>
          <w:highlight w:val="none"/>
          <w:u w:val="single"/>
        </w:rPr>
        <w:t>91511126MACJ4H6109</w:t>
      </w:r>
    </w:p>
    <w:p w14:paraId="659FB170">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开 户 行：</w:t>
      </w:r>
      <w:r>
        <w:rPr>
          <w:rFonts w:hint="eastAsia" w:hAnsi="宋体" w:cs="仿宋"/>
          <w:color w:val="auto"/>
          <w:sz w:val="24"/>
          <w:szCs w:val="24"/>
          <w:highlight w:val="none"/>
          <w:u w:val="single"/>
          <w:lang w:val="en-US" w:eastAsia="zh-CN"/>
        </w:rPr>
        <w:t xml:space="preserve"> 乐山市商业银行股份有限公司夹江支行  </w:t>
      </w:r>
    </w:p>
    <w:p w14:paraId="62329B40">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帐    号：</w:t>
      </w:r>
      <w:r>
        <w:rPr>
          <w:rFonts w:hint="eastAsia" w:hAnsi="宋体" w:cs="仿宋"/>
          <w:color w:val="auto"/>
          <w:sz w:val="24"/>
          <w:szCs w:val="24"/>
          <w:highlight w:val="none"/>
          <w:u w:val="single"/>
          <w:lang w:val="en-US" w:eastAsia="zh-CN"/>
        </w:rPr>
        <w:t xml:space="preserve"> 020000512713  </w:t>
      </w:r>
    </w:p>
    <w:p w14:paraId="17B4D4F6">
      <w:pPr>
        <w:spacing w:line="360" w:lineRule="auto"/>
        <w:ind w:firstLine="480" w:firstLineChars="200"/>
        <w:rPr>
          <w:rFonts w:hAnsi="宋体" w:cs="仿宋"/>
          <w:color w:val="auto"/>
          <w:sz w:val="24"/>
          <w:szCs w:val="24"/>
          <w:highlight w:val="none"/>
          <w:u w:val="single"/>
        </w:rPr>
      </w:pPr>
      <w:r>
        <w:rPr>
          <w:rFonts w:hAnsi="宋体" w:cs="仿宋"/>
          <w:color w:val="auto"/>
          <w:sz w:val="24"/>
          <w:szCs w:val="24"/>
          <w:highlight w:val="none"/>
        </w:rPr>
        <w:t>地    址：</w:t>
      </w:r>
      <w:r>
        <w:rPr>
          <w:rFonts w:hint="eastAsia" w:hAnsi="宋体" w:cs="仿宋"/>
          <w:color w:val="auto"/>
          <w:sz w:val="24"/>
          <w:szCs w:val="24"/>
          <w:highlight w:val="none"/>
          <w:u w:val="single"/>
          <w:lang w:val="en-US" w:eastAsia="zh-CN"/>
        </w:rPr>
        <w:t xml:space="preserve"> 四川省乐山市夹江县漹城街道拥军路108号 </w:t>
      </w:r>
    </w:p>
    <w:p w14:paraId="7C3644B8">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发票内容应当与合同约定的内容一致，注明</w:t>
      </w:r>
      <w:r>
        <w:rPr>
          <w:rFonts w:hAnsi="宋体" w:cs="仿宋"/>
          <w:color w:val="auto"/>
          <w:sz w:val="24"/>
          <w:szCs w:val="24"/>
          <w:highlight w:val="none"/>
          <w:u w:val="single"/>
        </w:rPr>
        <w:t>（</w:t>
      </w:r>
      <w:r>
        <w:rPr>
          <w:rFonts w:hint="eastAsia" w:hAnsi="宋体" w:cs="仿宋"/>
          <w:color w:val="auto"/>
          <w:sz w:val="24"/>
          <w:szCs w:val="24"/>
          <w:highlight w:val="none"/>
          <w:u w:val="single"/>
          <w:lang w:val="en-US" w:eastAsia="zh-CN"/>
        </w:rPr>
        <w:t>夹江县城乡供水一张网建设项目-青衣水厂扩建工程（二阶段）农村入户管网项目</w:t>
      </w:r>
      <w:r>
        <w:rPr>
          <w:rFonts w:hAnsi="宋体" w:cs="仿宋"/>
          <w:color w:val="auto"/>
          <w:sz w:val="24"/>
          <w:szCs w:val="24"/>
          <w:highlight w:val="none"/>
          <w:u w:val="single"/>
        </w:rPr>
        <w:t>）</w:t>
      </w:r>
      <w:r>
        <w:rPr>
          <w:rFonts w:hAnsi="宋体" w:cs="仿宋"/>
          <w:color w:val="auto"/>
          <w:sz w:val="24"/>
          <w:szCs w:val="24"/>
          <w:highlight w:val="none"/>
        </w:rPr>
        <w:t>。</w:t>
      </w:r>
    </w:p>
    <w:p w14:paraId="284B0D60">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6.1.3发票开具和送达时限</w:t>
      </w:r>
    </w:p>
    <w:p w14:paraId="0DDAC14A">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乙方应在收到甲方开票要求后</w:t>
      </w:r>
      <w:r>
        <w:rPr>
          <w:rFonts w:hAnsi="宋体" w:cs="仿宋"/>
          <w:color w:val="auto"/>
          <w:sz w:val="24"/>
          <w:szCs w:val="24"/>
          <w:highlight w:val="none"/>
          <w:u w:val="single"/>
        </w:rPr>
        <w:t xml:space="preserve"> 3  </w:t>
      </w:r>
      <w:r>
        <w:rPr>
          <w:rFonts w:hAnsi="宋体" w:cs="仿宋"/>
          <w:color w:val="auto"/>
          <w:sz w:val="24"/>
          <w:szCs w:val="24"/>
          <w:highlight w:val="none"/>
        </w:rPr>
        <w:t>天内向甲方开具增值税发票，并在发票记载的开具时间之日起的</w:t>
      </w:r>
      <w:r>
        <w:rPr>
          <w:rFonts w:hAnsi="宋体" w:cs="仿宋"/>
          <w:color w:val="auto"/>
          <w:sz w:val="24"/>
          <w:szCs w:val="24"/>
          <w:highlight w:val="none"/>
          <w:u w:val="single"/>
        </w:rPr>
        <w:t xml:space="preserve"> 7 </w:t>
      </w:r>
      <w:r>
        <w:rPr>
          <w:rFonts w:hAnsi="宋体" w:cs="仿宋"/>
          <w:color w:val="auto"/>
          <w:sz w:val="24"/>
          <w:szCs w:val="24"/>
          <w:highlight w:val="none"/>
        </w:rPr>
        <w:t>天内送达甲方。若乙方开具的增值税发票不正确的，应在接到甲方要求后的</w:t>
      </w:r>
      <w:r>
        <w:rPr>
          <w:rFonts w:hAnsi="宋体" w:cs="仿宋"/>
          <w:color w:val="auto"/>
          <w:sz w:val="24"/>
          <w:szCs w:val="24"/>
          <w:highlight w:val="none"/>
          <w:u w:val="single"/>
        </w:rPr>
        <w:t xml:space="preserve">    5</w:t>
      </w:r>
      <w:r>
        <w:rPr>
          <w:rFonts w:hAnsi="宋体" w:cs="仿宋"/>
          <w:color w:val="auto"/>
          <w:sz w:val="24"/>
          <w:szCs w:val="24"/>
          <w:highlight w:val="none"/>
        </w:rPr>
        <w:t>天内重新开具正确的增值税发票并送达至甲方，乙方自行承担相关费用。</w:t>
      </w:r>
    </w:p>
    <w:p w14:paraId="22BBADEF">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6.1.4发票丢失和违约条款</w:t>
      </w:r>
    </w:p>
    <w:p w14:paraId="54B20D83">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发票无论何种原因丢失，乙方应配合甲方按照国家法律、法规、规章、政策等规定重新取得相关凭证。</w:t>
      </w:r>
    </w:p>
    <w:p w14:paraId="118DD2F1">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乙方未按本合同约定开具、送达合法有效的增值税发票的，对甲方造成损失的，乙方应负责赔偿，包括但不限于税金、附加费、罚款、滞纳金和有关法律费用。如给甲方造成严重损失的、致使合同无法继续履行等情况，甲方有权终止合同。</w:t>
      </w:r>
    </w:p>
    <w:p w14:paraId="1B087044">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6.1.5 乙方合规纳税义务的约定</w:t>
      </w:r>
    </w:p>
    <w:p w14:paraId="7405DDE3">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乙方须遵从相关法律、条例和通知(下称法定要求)，并呈交所需的通知及申请，及支付所须的费用和税项(下称法定费用)。</w:t>
      </w:r>
    </w:p>
    <w:p w14:paraId="01C62C90">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若乙方未有缴交其应缴的法定费用，甲方可代缴该等法定费用，并从按本合同应付或将支付予乙方的款项中扣除；或以债项形式向乙方追讨。</w:t>
      </w:r>
    </w:p>
    <w:p w14:paraId="01F6CEA5">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乙方违反国家法律、法规、规章、政策等规定开具、提供发票的，乙方应自行承担相应法律责任。</w:t>
      </w:r>
    </w:p>
    <w:p w14:paraId="5D2DADC5">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6.2 乙方违约金、赔偿款发票条款</w:t>
      </w:r>
    </w:p>
    <w:p w14:paraId="13DC1829">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乙方因违约或前述条款中的过失向甲方支付的违约金、赔偿款并非原合同约定价款，因此合同总价款不变，乙方应向甲方开具的发票金额不受该等违约赔偿安排的影响。甲方仅会就收取的违约金款项向乙方提供相应收据，不会开具对应的增值税发票。</w:t>
      </w:r>
    </w:p>
    <w:p w14:paraId="3AE59E83">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6.3 甲方违约金、赔偿款发票条款</w:t>
      </w:r>
    </w:p>
    <w:p w14:paraId="2ABD59B0">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甲方因违约或前述条款中的过失向乙方支付的违约金、赔偿款，乙方应就收取的违约金、赔偿款向甲方按照6.1条款开具合法有效的增值税发票。</w:t>
      </w:r>
    </w:p>
    <w:p w14:paraId="180B0E49">
      <w:pPr>
        <w:spacing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七、质量要求、技术标准：</w:t>
      </w:r>
    </w:p>
    <w:p w14:paraId="4611893E">
      <w:pPr>
        <w:spacing w:line="360" w:lineRule="auto"/>
        <w:ind w:firstLine="480" w:firstLineChars="200"/>
        <w:jc w:val="left"/>
        <w:rPr>
          <w:rFonts w:hAnsi="宋体" w:cs="仿宋"/>
          <w:color w:val="auto"/>
          <w:sz w:val="24"/>
          <w:szCs w:val="24"/>
          <w:highlight w:val="none"/>
        </w:rPr>
      </w:pPr>
      <w:bookmarkStart w:id="2" w:name="_Toc502162446"/>
      <w:bookmarkStart w:id="3" w:name="_Toc502162535"/>
      <w:r>
        <w:rPr>
          <w:rFonts w:hAnsi="宋体" w:cs="仿宋"/>
          <w:color w:val="auto"/>
          <w:sz w:val="24"/>
          <w:szCs w:val="24"/>
          <w:highlight w:val="none"/>
        </w:rPr>
        <w:t>7.1、各类设备送至现场经外观检验合格后，甲方按国家规定的对材料抽样送检后，试验结果达不到国家现行标准，乙方应无条件更换成符合国家现行标准的材料并运至甲方指定地点，由此给甲方造成的一切损失由乙方承担。</w:t>
      </w:r>
    </w:p>
    <w:p w14:paraId="4E7521E6">
      <w:pPr>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7.2、乙方供应的材料质量标准应符合国家标准，如国家标准有更新以更新为准。</w:t>
      </w:r>
    </w:p>
    <w:p w14:paraId="2D3B665F">
      <w:pPr>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7.3、对正常送检不合格的材料乙方须无条件办理退货。对初次送检检测结果有异议，双方可重新见证取样，双方将该编号封存样送（寄）省质监站或国家质检中心进行复检，以复检结果为准，因此而发生的费用均由责任方承担。出现不合格品，乙方应在甲方规定时间内包退包换，所发生的费用由乙方承担。</w:t>
      </w:r>
    </w:p>
    <w:p w14:paraId="07F4C71B">
      <w:pPr>
        <w:spacing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7.</w:t>
      </w:r>
      <w:r>
        <w:rPr>
          <w:rFonts w:hint="eastAsia" w:hAnsi="宋体" w:cs="仿宋"/>
          <w:color w:val="auto"/>
          <w:sz w:val="24"/>
          <w:szCs w:val="24"/>
          <w:highlight w:val="none"/>
          <w:lang w:val="en-US" w:eastAsia="zh-CN"/>
        </w:rPr>
        <w:t>4</w:t>
      </w:r>
      <w:r>
        <w:rPr>
          <w:rFonts w:hAnsi="宋体" w:cs="仿宋"/>
          <w:color w:val="auto"/>
          <w:sz w:val="24"/>
          <w:szCs w:val="24"/>
          <w:highlight w:val="none"/>
        </w:rPr>
        <w:t>质保期：自工程竣工验收日起，质保期为二年（天灾、人为损坏不在保修范围）。</w:t>
      </w:r>
    </w:p>
    <w:p w14:paraId="5B0C6E1D">
      <w:pPr>
        <w:spacing w:line="360" w:lineRule="auto"/>
        <w:ind w:firstLine="482" w:firstLineChars="200"/>
        <w:jc w:val="left"/>
        <w:rPr>
          <w:rFonts w:hAnsi="宋体" w:cs="仿宋"/>
          <w:b/>
          <w:bCs/>
          <w:color w:val="auto"/>
          <w:sz w:val="24"/>
          <w:szCs w:val="24"/>
          <w:highlight w:val="none"/>
        </w:rPr>
      </w:pPr>
      <w:r>
        <w:rPr>
          <w:rFonts w:hAnsi="宋体" w:cs="仿宋"/>
          <w:b/>
          <w:bCs/>
          <w:color w:val="auto"/>
          <w:sz w:val="24"/>
          <w:szCs w:val="24"/>
          <w:highlight w:val="none"/>
        </w:rPr>
        <w:t>八、产品验收：</w:t>
      </w:r>
    </w:p>
    <w:p w14:paraId="285FD330">
      <w:pPr>
        <w:spacing w:after="120" w:afterLines="50" w:line="360" w:lineRule="auto"/>
        <w:ind w:firstLine="480" w:firstLineChars="200"/>
        <w:rPr>
          <w:rFonts w:hAnsi="宋体" w:cs="仿宋"/>
          <w:color w:val="auto"/>
          <w:sz w:val="24"/>
          <w:szCs w:val="24"/>
          <w:highlight w:val="none"/>
        </w:rPr>
      </w:pPr>
      <w:bookmarkStart w:id="4" w:name="OLE_LINK13"/>
      <w:r>
        <w:rPr>
          <w:rFonts w:hAnsi="宋体" w:cs="仿宋"/>
          <w:color w:val="auto"/>
          <w:sz w:val="24"/>
          <w:szCs w:val="24"/>
          <w:highlight w:val="none"/>
        </w:rPr>
        <w:t>8.1甲方应按国家现行标准对货物的质量和数量进行验收。</w:t>
      </w:r>
    </w:p>
    <w:p w14:paraId="5C107556">
      <w:pPr>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8.2供货前乙方须按甲方及施工业主、监理的要求提供所供相应材料相关资质文件、营业执照等报审资料。随车送货时乙方须提供材料出厂合格证、出厂检验报告。（如是复印件须注明原件存放地，经手人签名，并加盖乙方具体操作部门的业务专用章，于送货当天将相应材质书送交甲方，以配合甲方及时报检，原件存乙方操作部门保管，可随时查验。）</w:t>
      </w:r>
    </w:p>
    <w:p w14:paraId="054B66C9">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8.3乙方提供的出厂合格证、检验报告和送货单的内容须一致，确保产品来源是合同上约定的正规厂家，禁止伪劣产品流入甲方项目部。乙方若提供的材料为假冒伪劣产品，须执行无条件退货，且执行本合同“第九条 双方责任”中的规定。</w:t>
      </w:r>
    </w:p>
    <w:p w14:paraId="743B93A9">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8.4材料的数量、品种、级别、出厂日期、质量等须符合现行国家标准。</w:t>
      </w:r>
    </w:p>
    <w:p w14:paraId="5A7B09DE">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8.5乙方须按甲方计划保质保量供货，否则，甲方有权退货。</w:t>
      </w:r>
    </w:p>
    <w:p w14:paraId="7AB53028">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8.6材料卸货后，甲方根据乙方提供的资料及材料外观作初验，对初验合格材料进行送货初步签收，甲方接货代表（材料员、施工员）在乙方开出的《送货单》上签字确认双方认可的实际收货数量。</w:t>
      </w:r>
    </w:p>
    <w:p w14:paraId="7B6049DB">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8.7对正常送检不合格的材料乙方须无条件办理退货。对初次送检检测结果有异议，双方可重新见证取样，以复检结果为准，因此而发生的费用均由责任方承担。出现不合格品，乙方应在甲方规定时间内包退包换，所发生的费用由乙方承担。</w:t>
      </w:r>
    </w:p>
    <w:p w14:paraId="0DA41ED6">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8.8乙方所供材料不管其材质标示如何优质，并不因此减免供应商对配件应承担的质量责任。若因乙方配件质量问题，导致甲方的经济损失由乙方负责。</w:t>
      </w:r>
    </w:p>
    <w:p w14:paraId="5BF79943">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8.9使用前如经过检验确认质量不合格（即质量有缺陷）时，乙方须承担如下质量缺陷责任：</w:t>
      </w:r>
    </w:p>
    <w:p w14:paraId="7400D04D">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8.9.1必须立即采取补救措施，于接到通知后10天内将不合格的材料自费退回并补充供应质量符合要求的同等数量、规格的材料。如乙方未能及时采取上述措施补救或已无法补救，并在实际上造成了工期延误和经济损失，乙方须向甲方赔偿因此而造成的经济损失。</w:t>
      </w:r>
    </w:p>
    <w:p w14:paraId="362B9BF0">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8.9.2质量检验费用的负担： 材料送达甲方工地后，甲方按规定的程序所作的质量检验，其质检费由甲方负担。配材料质量缺陷是由于原材质量不合格造成的，确定质量不合格的当批次的质检费由乙方负担。</w:t>
      </w:r>
    </w:p>
    <w:p w14:paraId="490E8299">
      <w:pPr>
        <w:adjustRightInd w:val="0"/>
        <w:snapToGrid w:val="0"/>
        <w:spacing w:after="120" w:afterLines="50" w:line="360" w:lineRule="auto"/>
        <w:ind w:firstLine="480" w:firstLineChars="200"/>
        <w:jc w:val="left"/>
        <w:rPr>
          <w:rFonts w:hAnsi="宋体" w:cs="仿宋"/>
          <w:color w:val="auto"/>
          <w:sz w:val="24"/>
          <w:szCs w:val="24"/>
          <w:highlight w:val="none"/>
          <w:u w:val="single"/>
        </w:rPr>
      </w:pPr>
      <w:r>
        <w:rPr>
          <w:rFonts w:hAnsi="宋体" w:cs="仿宋"/>
          <w:color w:val="auto"/>
          <w:sz w:val="24"/>
          <w:szCs w:val="24"/>
          <w:highlight w:val="none"/>
        </w:rPr>
        <w:t xml:space="preserve">8.9.3因材料质量原因造成工程质量事故，供应商除赔偿其因此产生的工程直接损失，还须承担 </w:t>
      </w:r>
      <w:r>
        <w:rPr>
          <w:rFonts w:hAnsi="宋体" w:cs="仿宋"/>
          <w:color w:val="auto"/>
          <w:sz w:val="24"/>
          <w:szCs w:val="24"/>
          <w:highlight w:val="none"/>
          <w:u w:val="single"/>
        </w:rPr>
        <w:t xml:space="preserve">壹 </w:t>
      </w:r>
      <w:r>
        <w:rPr>
          <w:rFonts w:hAnsi="宋体" w:cs="仿宋"/>
          <w:color w:val="auto"/>
          <w:sz w:val="24"/>
          <w:szCs w:val="24"/>
          <w:highlight w:val="none"/>
        </w:rPr>
        <w:t>万元的罚款作为质量违约金。</w:t>
      </w:r>
    </w:p>
    <w:p w14:paraId="67503EFC">
      <w:pPr>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8.10甲方经过验收对乙方送至甲方现场的货物质量有异议的,可以电传或书面方式向乙方提出，乙方须在两天内书面给出合理的解释，否则视为默认异议成立，由此发生的取样检测费由乙方承担（无论结果是否合格）。</w:t>
      </w:r>
    </w:p>
    <w:p w14:paraId="15363A0E">
      <w:pPr>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8.11在双方对货物质量存在异议期间，乙方应保证不能耽误项目工程进度。如乙方不能按时解决的，则按本合同中的相关规定执行。</w:t>
      </w:r>
    </w:p>
    <w:bookmarkEnd w:id="4"/>
    <w:p w14:paraId="7D586F3C">
      <w:pPr>
        <w:spacing w:after="120" w:afterLines="50"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九、环境保护与职业安全</w:t>
      </w:r>
    </w:p>
    <w:p w14:paraId="323C316F">
      <w:pPr>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9.1建筑工程实施全过程，节约资源，爱护环境，保护环境，满足社会相关方的要求；</w:t>
      </w:r>
    </w:p>
    <w:p w14:paraId="3AD545B6">
      <w:pPr>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9.2参加材料供应的相关人员，必须遵守甲方的相关制度；</w:t>
      </w:r>
    </w:p>
    <w:p w14:paraId="49299C5D">
      <w:pPr>
        <w:adjustRightInd w:val="0"/>
        <w:snapToGrid w:val="0"/>
        <w:spacing w:after="120" w:afterLines="50" w:line="360" w:lineRule="auto"/>
        <w:ind w:firstLine="480" w:firstLineChars="200"/>
        <w:jc w:val="left"/>
        <w:rPr>
          <w:rFonts w:hAnsi="宋体" w:cs="仿宋"/>
          <w:color w:val="auto"/>
          <w:sz w:val="24"/>
          <w:szCs w:val="24"/>
          <w:highlight w:val="none"/>
        </w:rPr>
      </w:pPr>
      <w:r>
        <w:rPr>
          <w:rFonts w:hAnsi="宋体" w:cs="仿宋"/>
          <w:color w:val="auto"/>
          <w:sz w:val="24"/>
          <w:szCs w:val="24"/>
          <w:highlight w:val="none"/>
        </w:rPr>
        <w:t>9.3乙方在运输途中要严格按照国家交通及环保有关要求执行，采取合理安全环保的运输方式，如发生污染环境、交通事故等事件，乙方应承担与此相关的一切责任。</w:t>
      </w:r>
    </w:p>
    <w:p w14:paraId="5ED2ACCE">
      <w:pPr>
        <w:tabs>
          <w:tab w:val="left" w:pos="426"/>
        </w:tabs>
        <w:spacing w:after="120" w:afterLines="50" w:line="360" w:lineRule="auto"/>
        <w:ind w:firstLine="482" w:firstLineChars="200"/>
        <w:jc w:val="left"/>
        <w:rPr>
          <w:rFonts w:hAnsi="宋体" w:cs="仿宋"/>
          <w:color w:val="auto"/>
          <w:sz w:val="24"/>
          <w:szCs w:val="24"/>
          <w:highlight w:val="none"/>
        </w:rPr>
      </w:pPr>
      <w:r>
        <w:rPr>
          <w:rFonts w:hAnsi="宋体" w:cs="仿宋"/>
          <w:b/>
          <w:bCs/>
          <w:color w:val="auto"/>
          <w:sz w:val="24"/>
          <w:szCs w:val="24"/>
          <w:highlight w:val="none"/>
        </w:rPr>
        <w:t>十、双方权利和义务：</w:t>
      </w:r>
    </w:p>
    <w:p w14:paraId="4D07E0AB">
      <w:pPr>
        <w:tabs>
          <w:tab w:val="left" w:pos="8312"/>
          <w:tab w:val="left" w:pos="9356"/>
        </w:tabs>
        <w:adjustRightInd w:val="0"/>
        <w:spacing w:after="120" w:afterLines="50"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10.1甲方（需方）权利和义务：</w:t>
      </w:r>
    </w:p>
    <w:p w14:paraId="14A42450">
      <w:pPr>
        <w:adjustRightInd w:val="0"/>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10.1.1甲方（需方）按时（月或周计划）向乙方（供方）提报需求计划，乙方（供方）如有特殊情况不能按时交付货物，应提前天通知甲方（需方），双方在可能的情况下作出调整。</w:t>
      </w:r>
    </w:p>
    <w:p w14:paraId="1428178D">
      <w:pPr>
        <w:tabs>
          <w:tab w:val="left" w:pos="8312"/>
          <w:tab w:val="left" w:pos="9356"/>
        </w:tabs>
        <w:adjustRightInd w:val="0"/>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10.1.2甲方（需方）有权拒收不合格产品，并向乙方（供方）退货，由此造成的损失由乙方（供方）承担。</w:t>
      </w:r>
    </w:p>
    <w:p w14:paraId="7432814D">
      <w:pPr>
        <w:tabs>
          <w:tab w:val="left" w:pos="8312"/>
          <w:tab w:val="left" w:pos="9356"/>
        </w:tabs>
        <w:adjustRightInd w:val="0"/>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10.1.3乙方（供方）未按甲方（需方）需求计划组织交付货物，甲方有权拒绝支付货款。</w:t>
      </w:r>
    </w:p>
    <w:p w14:paraId="64189709">
      <w:pPr>
        <w:tabs>
          <w:tab w:val="left" w:pos="8312"/>
          <w:tab w:val="left" w:pos="9356"/>
        </w:tabs>
        <w:adjustRightInd w:val="0"/>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10.1.4乙方（供方）提供的发票若有瑕疵，甲方（需方）有权拒绝支付货款。</w:t>
      </w:r>
    </w:p>
    <w:p w14:paraId="47EABB5C">
      <w:pPr>
        <w:tabs>
          <w:tab w:val="left" w:pos="8312"/>
          <w:tab w:val="left" w:pos="9356"/>
        </w:tabs>
        <w:adjustRightInd w:val="0"/>
        <w:spacing w:after="120" w:afterLines="50"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10.2乙方（供方）权利和义务：</w:t>
      </w:r>
    </w:p>
    <w:p w14:paraId="0C14ABB8">
      <w:pPr>
        <w:tabs>
          <w:tab w:val="left" w:pos="8312"/>
          <w:tab w:val="left" w:pos="9356"/>
        </w:tabs>
        <w:adjustRightInd w:val="0"/>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10.2.1乙方（供方）按甲方（需方）需求计划组织交付货物，并按产品批次及时提供给甲方（需方）合格证及产品检验报告。</w:t>
      </w:r>
    </w:p>
    <w:p w14:paraId="43DAA234">
      <w:pPr>
        <w:tabs>
          <w:tab w:val="left" w:pos="8312"/>
          <w:tab w:val="left" w:pos="9356"/>
        </w:tabs>
        <w:adjustRightInd w:val="0"/>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10.2.2乙方（供方）不得以各种理由（如供货项目地点偏远、品种缺失、节假日等）停止供货，由此而影响甲方工程进度而造成的损失，需由乙方负责。</w:t>
      </w:r>
    </w:p>
    <w:p w14:paraId="06341778">
      <w:pPr>
        <w:tabs>
          <w:tab w:val="left" w:pos="8312"/>
          <w:tab w:val="left" w:pos="9356"/>
        </w:tabs>
        <w:adjustRightInd w:val="0"/>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10.2.3乙方（供方）负责运输的，货物交付甲方（需方）指定地点前毁损灭失的风险由乙方（供方）承担。</w:t>
      </w:r>
    </w:p>
    <w:p w14:paraId="5F39504D">
      <w:pPr>
        <w:tabs>
          <w:tab w:val="left" w:pos="8312"/>
          <w:tab w:val="left" w:pos="9356"/>
        </w:tabs>
        <w:adjustRightInd w:val="0"/>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10.2.4乙方（供方）未按甲方（需方）需求计划约定的规格、数量、质量交付货物，乙方（供方）应及时补齐数量不足的货物，出现退换货时，乙方（供方）应及时将货物运出工地进行更换。</w:t>
      </w:r>
    </w:p>
    <w:p w14:paraId="77EAF2EE">
      <w:pPr>
        <w:tabs>
          <w:tab w:val="left" w:pos="8312"/>
          <w:tab w:val="left" w:pos="9356"/>
        </w:tabs>
        <w:adjustRightInd w:val="0"/>
        <w:spacing w:after="120" w:afterLines="50" w:line="360" w:lineRule="auto"/>
        <w:ind w:firstLine="480" w:firstLineChars="200"/>
        <w:rPr>
          <w:rFonts w:hAnsi="宋体" w:cs="仿宋"/>
          <w:color w:val="auto"/>
          <w:sz w:val="24"/>
          <w:szCs w:val="24"/>
          <w:highlight w:val="none"/>
        </w:rPr>
      </w:pPr>
      <w:r>
        <w:rPr>
          <w:rFonts w:hAnsi="宋体" w:cs="仿宋"/>
          <w:color w:val="auto"/>
          <w:sz w:val="24"/>
          <w:szCs w:val="24"/>
          <w:highlight w:val="none"/>
        </w:rPr>
        <w:t>10.2.5乙方（供方）车辆和人员进入施工现场，遵守现场相关的安全制度，服从现场管理人员的指挥，车辆驾乘人员应正确佩戴安全帽，注意行驶安全。</w:t>
      </w:r>
    </w:p>
    <w:p w14:paraId="08E6ABB5">
      <w:pPr>
        <w:spacing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十一、保密：</w:t>
      </w:r>
    </w:p>
    <w:p w14:paraId="4668F784">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甲、乙双方对与另一方有关的信息予以保密，该信息包括但不限于所有信息数据、价格、客户名单、商业秘密、营销策划等。</w:t>
      </w:r>
    </w:p>
    <w:p w14:paraId="09C7A15B">
      <w:pPr>
        <w:spacing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十二、不可抗力：</w:t>
      </w:r>
    </w:p>
    <w:p w14:paraId="76377CF3">
      <w:pPr>
        <w:spacing w:line="360" w:lineRule="auto"/>
        <w:ind w:firstLine="480" w:firstLineChars="200"/>
        <w:jc w:val="left"/>
        <w:rPr>
          <w:rFonts w:hAnsi="宋体" w:cs="仿宋"/>
          <w:b/>
          <w:bCs/>
          <w:color w:val="auto"/>
          <w:sz w:val="24"/>
          <w:szCs w:val="24"/>
          <w:highlight w:val="none"/>
        </w:rPr>
      </w:pPr>
      <w:r>
        <w:rPr>
          <w:rFonts w:hAnsi="宋体" w:cs="仿宋"/>
          <w:color w:val="auto"/>
          <w:sz w:val="24"/>
          <w:szCs w:val="24"/>
          <w:highlight w:val="none"/>
        </w:rPr>
        <w:t>任何一方由于不可抗力的原因不能履行合同时，应及时向对方通报不能履行或不能完全履行的理由，以减轻可能给对方造成的损失，遭受不可抗力的一方可以延期履行、部分履行或者不履行合同，并根据情况可部分或全部免予承担违约责任。但不可抗力发生在违约方违约之后的除外。</w:t>
      </w:r>
    </w:p>
    <w:p w14:paraId="0A3BCA9A">
      <w:pPr>
        <w:spacing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十三、合同的解除、变更：</w:t>
      </w:r>
    </w:p>
    <w:p w14:paraId="77B3A5B0">
      <w:pPr>
        <w:pStyle w:val="18"/>
        <w:spacing w:line="360" w:lineRule="auto"/>
        <w:ind w:firstLine="560"/>
        <w:rPr>
          <w:rFonts w:ascii="宋体" w:hAnsi="宋体" w:cs="仿宋"/>
          <w:color w:val="auto"/>
          <w:sz w:val="24"/>
          <w:szCs w:val="24"/>
          <w:highlight w:val="none"/>
        </w:rPr>
      </w:pPr>
      <w:r>
        <w:rPr>
          <w:rFonts w:ascii="宋体" w:hAnsi="宋体" w:cs="仿宋"/>
          <w:color w:val="auto"/>
          <w:sz w:val="24"/>
          <w:szCs w:val="24"/>
          <w:highlight w:val="none"/>
        </w:rPr>
        <w:t>13.1乙方（供方）不能保质保量或及时交付货物，甲方（需方）有权终止合同。</w:t>
      </w:r>
    </w:p>
    <w:p w14:paraId="39A50FBF">
      <w:pPr>
        <w:pStyle w:val="18"/>
        <w:spacing w:line="360" w:lineRule="auto"/>
        <w:ind w:firstLine="560"/>
        <w:rPr>
          <w:rFonts w:ascii="宋体" w:hAnsi="宋体" w:cs="仿宋"/>
          <w:color w:val="auto"/>
          <w:sz w:val="24"/>
          <w:szCs w:val="24"/>
          <w:highlight w:val="none"/>
        </w:rPr>
      </w:pPr>
      <w:r>
        <w:rPr>
          <w:rFonts w:ascii="宋体" w:hAnsi="宋体" w:cs="仿宋"/>
          <w:color w:val="auto"/>
          <w:sz w:val="24"/>
          <w:szCs w:val="24"/>
          <w:highlight w:val="none"/>
        </w:rPr>
        <w:t>13.2甲方（需方）不需要供货时，有权终止合同，不受本合同约定的暂估采购数量的限制。</w:t>
      </w:r>
    </w:p>
    <w:p w14:paraId="1D6EE3CE">
      <w:pPr>
        <w:pStyle w:val="18"/>
        <w:spacing w:line="360" w:lineRule="auto"/>
        <w:ind w:firstLine="560"/>
        <w:rPr>
          <w:rFonts w:ascii="宋体" w:hAnsi="宋体" w:cs="仿宋"/>
          <w:color w:val="auto"/>
          <w:sz w:val="24"/>
          <w:szCs w:val="24"/>
          <w:highlight w:val="none"/>
        </w:rPr>
      </w:pPr>
      <w:r>
        <w:rPr>
          <w:rFonts w:ascii="宋体" w:hAnsi="宋体" w:cs="仿宋"/>
          <w:color w:val="auto"/>
          <w:sz w:val="24"/>
          <w:szCs w:val="24"/>
          <w:highlight w:val="none"/>
        </w:rPr>
        <w:t>13.3一方违约迟延履行超过30日（双方协商一致变更履行日期的除外）或者有其他违约行为致使不能实现合同目的的，守约方有权解除合同。</w:t>
      </w:r>
    </w:p>
    <w:p w14:paraId="3AD1554F">
      <w:pPr>
        <w:pStyle w:val="18"/>
        <w:spacing w:line="360" w:lineRule="auto"/>
        <w:ind w:firstLine="560"/>
        <w:rPr>
          <w:rFonts w:ascii="宋体" w:hAnsi="宋体" w:cs="仿宋"/>
          <w:color w:val="auto"/>
          <w:sz w:val="24"/>
          <w:szCs w:val="24"/>
          <w:highlight w:val="none"/>
        </w:rPr>
      </w:pPr>
      <w:r>
        <w:rPr>
          <w:rFonts w:ascii="宋体" w:hAnsi="宋体" w:cs="仿宋"/>
          <w:color w:val="auto"/>
          <w:sz w:val="24"/>
          <w:szCs w:val="24"/>
          <w:highlight w:val="none"/>
        </w:rPr>
        <w:t>13.4如一方已经或行将破产，出现清算、解散、被收购等经营状况严重恶化的情况，对方有权中止履行合同并通知经营状况恶化方，中止履行后，该方在合理期限内未恢复履行能力并且未提供适当担保的，中止履行的一方可以解除合同。</w:t>
      </w:r>
    </w:p>
    <w:p w14:paraId="2B69B34F">
      <w:pPr>
        <w:pStyle w:val="18"/>
        <w:spacing w:line="360" w:lineRule="auto"/>
        <w:ind w:firstLine="560"/>
        <w:rPr>
          <w:rFonts w:ascii="宋体" w:hAnsi="宋体" w:cs="仿宋"/>
          <w:b/>
          <w:bCs/>
          <w:color w:val="auto"/>
          <w:sz w:val="24"/>
          <w:szCs w:val="24"/>
          <w:highlight w:val="none"/>
        </w:rPr>
      </w:pPr>
      <w:r>
        <w:rPr>
          <w:rFonts w:ascii="宋体" w:hAnsi="宋体" w:cs="仿宋"/>
          <w:color w:val="auto"/>
          <w:sz w:val="24"/>
          <w:szCs w:val="24"/>
          <w:highlight w:val="none"/>
        </w:rPr>
        <w:t>13.5双方签署合同后，任何一方不得擅自修改或拒绝履行合同内任何条款，经双方协商一致可以解除或变更本合同。</w:t>
      </w:r>
    </w:p>
    <w:p w14:paraId="7E392EAD">
      <w:pPr>
        <w:spacing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十四、违约责任：</w:t>
      </w:r>
    </w:p>
    <w:p w14:paraId="2D2BD6E0">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14.1乙方（供方）交付货物质量不合格或未按约定交付货物，因此给甲方（需方）造成的损失由乙方（供方）承担。出现退换货时，乙方（供方）承担退换货产生的所有损失。</w:t>
      </w:r>
    </w:p>
    <w:p w14:paraId="4500D5E4">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14.2乙方（供方）无法保供时，甲方（需方）有权选择其他供应商进行供货。</w:t>
      </w:r>
    </w:p>
    <w:p w14:paraId="41D36ACE">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14.3甲方（需方）错误提供需求计划，由此造成的损失由甲方（需方）承担。</w:t>
      </w:r>
    </w:p>
    <w:p w14:paraId="17FCFBD7">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14.4乙方（供方）开具的增值税专用发票不符合法律规定，乙方（供方）承担赔偿责任，包括但不限于税款、滞纳金、罚款等相关损失。</w:t>
      </w:r>
    </w:p>
    <w:p w14:paraId="06A16724">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14.5其它违约条款：</w:t>
      </w:r>
    </w:p>
    <w:p w14:paraId="739602B7">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14.5.1质量违约：乙方（供方）所供应的材料质量不符合要求时，甲方（需方）有权要求乙方（供方）支付不合格物资总价的10%的违约金，若乙方（供方）根据A条的方式未能及时更换货物或出现多次质量问题对工程造成影响，则甲方（需方）有权决定按B的方式处理。</w:t>
      </w:r>
    </w:p>
    <w:p w14:paraId="5B5BDE4B">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（A）更换：乙方（供方）应及时更换有缺陷的货物，费用自理。除甲方（需方）特别许可外，货物的更换应当场完成。经替换的货物在通过规定的检验后，甲方（需方）应予以接受。</w:t>
      </w:r>
    </w:p>
    <w:p w14:paraId="05FAD466">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B）另行采购：如乙方（供方）未能及时更换货物或延误到货时间影响了工程的进展或多次出现质量事故对工程造成潜在危险，甲方（需方）有权终止合同，并从其他材料合格供应商处采购替换的货物。此外，期间造成的检测、施工、拆除或重修、另寻供应商等费用由乙方（供方）承担赔偿，赔偿款甲方（需方）可直接从未结算的货款中划扣赔偿款，不足部分乙方（供方）补缴。</w:t>
      </w:r>
    </w:p>
    <w:p w14:paraId="30FFA762">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14.5.2延迟供货违约：1）由甲方（需方）根据计划要求提前以书面形式通知，具体进场时间应服从现场指挥；若乙方（供方）不能在约定的时间内交货，乙方（供方）延迟赔偿标准按每延误一天延期交货物资价值的百分之一（1%）计扣，自延期之日起计算。乙方（供方）应甲方（需方）的要求积极组织供应补救，未在甲方（需方）允许延期时间内供货的，乙方（供方）应承担延期供货赔偿金。延期赔偿金由甲方（需方）从乙方（供方）应付货款，最高赔偿金额为合同总价的百分之五（5%）。一旦达到供应延迟赔偿的最高限额，甲方（需方）有权终止合同，且因逾期交货所造成甲方（需方）损失由乙方（供方）负责。</w:t>
      </w:r>
    </w:p>
    <w:p w14:paraId="7B50D7B2">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2）若乙方（供方）无法按照甲方（需方）需求及时供货，甲方（需方）有权另外选择供应商，乙方（供方）不得提出异议并承担甲方（需方）另选供应商所发生的一切费用。</w:t>
      </w:r>
    </w:p>
    <w:p w14:paraId="0449CC26">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14.6严禁私刻对方公章，每发现一起私刻行为，私刻方须承担违约金15～20万元，在当期材料款中一次性扣除。给对方造成损失的，须承担相应赔偿责任。</w:t>
      </w:r>
    </w:p>
    <w:p w14:paraId="1794979C">
      <w:pPr>
        <w:spacing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十五、争议的解决：</w:t>
      </w:r>
    </w:p>
    <w:p w14:paraId="47F42DA7">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本合同在履行过程中发生争议，甲、乙双方应协商解决，协商不成，任何一方均可向</w:t>
      </w:r>
      <w:bookmarkStart w:id="5" w:name="OLE_LINK15"/>
      <w:r>
        <w:rPr>
          <w:rFonts w:hint="eastAsia" w:hAnsi="宋体" w:cs="仿宋"/>
          <w:color w:val="auto"/>
          <w:sz w:val="24"/>
          <w:szCs w:val="24"/>
          <w:highlight w:val="none"/>
          <w:u w:val="single"/>
          <w:lang w:val="en-US" w:eastAsia="zh-CN"/>
        </w:rPr>
        <w:t>夹江县</w:t>
      </w:r>
      <w:r>
        <w:rPr>
          <w:rFonts w:hAnsi="宋体" w:cs="仿宋"/>
          <w:color w:val="auto"/>
          <w:sz w:val="24"/>
          <w:szCs w:val="24"/>
          <w:highlight w:val="none"/>
          <w:u w:val="single"/>
        </w:rPr>
        <w:t>人民法院</w:t>
      </w:r>
      <w:bookmarkEnd w:id="5"/>
      <w:r>
        <w:rPr>
          <w:rFonts w:hAnsi="宋体" w:cs="仿宋"/>
          <w:color w:val="auto"/>
          <w:sz w:val="24"/>
          <w:szCs w:val="24"/>
          <w:highlight w:val="none"/>
        </w:rPr>
        <w:t>提起诉讼。</w:t>
      </w:r>
    </w:p>
    <w:p w14:paraId="0EFDDAC2">
      <w:pPr>
        <w:pStyle w:val="8"/>
        <w:spacing w:line="360" w:lineRule="auto"/>
        <w:ind w:firstLine="200"/>
        <w:rPr>
          <w:rFonts w:hint="eastAsia" w:hAnsi="宋体" w:cs="仿宋"/>
          <w:color w:val="auto"/>
          <w:sz w:val="24"/>
          <w:szCs w:val="24"/>
          <w:highlight w:val="none"/>
        </w:rPr>
      </w:pPr>
      <w:r>
        <w:rPr>
          <w:rFonts w:hint="eastAsia" w:hAnsi="宋体" w:cs="仿宋"/>
          <w:b/>
          <w:bCs/>
          <w:color w:val="auto"/>
          <w:sz w:val="24"/>
          <w:szCs w:val="24"/>
          <w:highlight w:val="none"/>
        </w:rPr>
        <w:t>十六、其他事项：</w:t>
      </w:r>
    </w:p>
    <w:p w14:paraId="2C64D80D">
      <w:pPr>
        <w:adjustRightInd w:val="0"/>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16.1包括但不限于经双方签字或盖章的随货同行单、送料单、供货确认单、对账单、变更交货地点通知书、变更收货人通知书、补充协议等作为本合同附件，与本合同具有同等法律效力。</w:t>
      </w:r>
    </w:p>
    <w:p w14:paraId="30A06CCE">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16.2签订合同之前甲、乙双方相互提供以下加盖公章的证件：五证合一的营业执照复印件、开户许可证复印件、法定代表人身份证复印件。</w:t>
      </w:r>
    </w:p>
    <w:p w14:paraId="71DF8B20">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16.3委托代理人签署本合同的，需提交加盖公章的授权委托书原件。</w:t>
      </w:r>
    </w:p>
    <w:p w14:paraId="032D04A9">
      <w:pPr>
        <w:pStyle w:val="18"/>
        <w:spacing w:line="360" w:lineRule="auto"/>
        <w:ind w:firstLine="560"/>
        <w:rPr>
          <w:rFonts w:ascii="宋体" w:hAnsi="宋体" w:cs="仿宋"/>
          <w:color w:val="auto"/>
          <w:sz w:val="24"/>
          <w:szCs w:val="24"/>
          <w:highlight w:val="none"/>
        </w:rPr>
      </w:pPr>
      <w:r>
        <w:rPr>
          <w:rFonts w:ascii="宋体" w:hAnsi="宋体" w:cs="仿宋"/>
          <w:color w:val="auto"/>
          <w:sz w:val="24"/>
          <w:szCs w:val="24"/>
          <w:highlight w:val="none"/>
        </w:rPr>
        <w:t>16.4本合同中除签约双方法定代表人或委托代理人的签名以外，手写的内容均为无效条款，对签约双方不具有法律效力。</w:t>
      </w:r>
    </w:p>
    <w:p w14:paraId="7561A54C">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16.5如本合同解除，不影响合同解除前双方的权利义务，本合同明示或暗示终止后仍有效的条款在本合同解除后应继续执行。</w:t>
      </w:r>
    </w:p>
    <w:p w14:paraId="23B4C213">
      <w:pPr>
        <w:spacing w:line="360" w:lineRule="auto"/>
        <w:ind w:firstLine="480" w:firstLineChars="200"/>
        <w:rPr>
          <w:rFonts w:hAnsi="宋体" w:cs="仿宋"/>
          <w:color w:val="auto"/>
          <w:sz w:val="24"/>
          <w:szCs w:val="24"/>
          <w:highlight w:val="none"/>
        </w:rPr>
      </w:pPr>
      <w:r>
        <w:rPr>
          <w:rFonts w:hAnsi="宋体" w:cs="仿宋"/>
          <w:color w:val="auto"/>
          <w:sz w:val="24"/>
          <w:szCs w:val="24"/>
          <w:highlight w:val="none"/>
        </w:rPr>
        <w:t>16.6其他未尽事宜双方另行协商签订补充协议作为本合同附件，与本合同具有同等法律效力。</w:t>
      </w:r>
    </w:p>
    <w:p w14:paraId="57BBF537">
      <w:pPr>
        <w:spacing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十七、本合同经甲、乙双方法定代表人（或委托代理人）盖章（签字）之日起生效。</w:t>
      </w:r>
    </w:p>
    <w:p w14:paraId="29429DBB">
      <w:pPr>
        <w:spacing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十八、本合同一式肆份，甲、乙双方各执贰份，每份具有同等法律效力。</w:t>
      </w:r>
    </w:p>
    <w:p w14:paraId="6C8D382D">
      <w:pPr>
        <w:adjustRightInd w:val="0"/>
        <w:spacing w:line="360" w:lineRule="auto"/>
        <w:ind w:firstLine="482" w:firstLineChars="200"/>
        <w:rPr>
          <w:rFonts w:hAnsi="宋体" w:cs="仿宋"/>
          <w:b/>
          <w:bCs/>
          <w:color w:val="auto"/>
          <w:sz w:val="24"/>
          <w:szCs w:val="24"/>
          <w:highlight w:val="none"/>
        </w:rPr>
      </w:pPr>
      <w:r>
        <w:rPr>
          <w:rFonts w:hAnsi="宋体" w:cs="仿宋"/>
          <w:b/>
          <w:bCs/>
          <w:color w:val="auto"/>
          <w:sz w:val="24"/>
          <w:szCs w:val="24"/>
          <w:highlight w:val="none"/>
        </w:rPr>
        <w:t>十九、合同有效期： 本合同自供、需双方签订之日起生效，至双方都按照本合同的所有条款的规定，将本合同执行完毕时失效。</w:t>
      </w:r>
    </w:p>
    <w:p w14:paraId="5092E1C9">
      <w:pPr>
        <w:spacing w:line="360" w:lineRule="auto"/>
        <w:ind w:left="8400" w:hanging="7200" w:hangingChars="3000"/>
        <w:rPr>
          <w:rFonts w:hAnsi="宋体" w:cs="仿宋"/>
          <w:color w:val="auto"/>
          <w:sz w:val="24"/>
          <w:szCs w:val="24"/>
          <w:highlight w:val="none"/>
        </w:rPr>
      </w:pPr>
    </w:p>
    <w:p w14:paraId="67DDBB94">
      <w:pPr>
        <w:spacing w:line="360" w:lineRule="auto"/>
        <w:ind w:left="280" w:hanging="240" w:hangingChars="100"/>
        <w:rPr>
          <w:rFonts w:hAnsi="宋体" w:cs="仿宋"/>
          <w:color w:val="auto"/>
          <w:sz w:val="24"/>
          <w:szCs w:val="24"/>
          <w:highlight w:val="none"/>
        </w:rPr>
      </w:pPr>
      <w:r>
        <w:rPr>
          <w:rFonts w:hAnsi="宋体" w:cs="仿宋"/>
          <w:color w:val="auto"/>
          <w:sz w:val="24"/>
          <w:szCs w:val="24"/>
          <w:highlight w:val="none"/>
        </w:rPr>
        <w:t>甲方（章）：</w:t>
      </w:r>
      <w:r>
        <w:rPr>
          <w:rFonts w:hint="eastAsia" w:hAnsi="宋体" w:cs="仿宋"/>
          <w:color w:val="auto"/>
          <w:sz w:val="24"/>
          <w:szCs w:val="24"/>
          <w:highlight w:val="none"/>
          <w:lang w:val="en-US" w:eastAsia="zh-CN"/>
        </w:rPr>
        <w:t>夹江县润泽商贸有限公司</w:t>
      </w:r>
      <w:r>
        <w:rPr>
          <w:rFonts w:hAnsi="宋体" w:cs="仿宋"/>
          <w:color w:val="auto"/>
          <w:sz w:val="24"/>
          <w:szCs w:val="24"/>
          <w:highlight w:val="none"/>
        </w:rPr>
        <w:t xml:space="preserve">   </w:t>
      </w:r>
      <w:r>
        <w:rPr>
          <w:rFonts w:hint="eastAsia" w:hAnsi="宋体" w:cs="仿宋"/>
          <w:color w:val="auto"/>
          <w:sz w:val="24"/>
          <w:szCs w:val="24"/>
          <w:highlight w:val="none"/>
          <w:lang w:val="en-US" w:eastAsia="zh-CN"/>
        </w:rPr>
        <w:t xml:space="preserve">   </w:t>
      </w:r>
      <w:r>
        <w:rPr>
          <w:rFonts w:hAnsi="宋体" w:cs="仿宋"/>
          <w:color w:val="auto"/>
          <w:sz w:val="24"/>
          <w:szCs w:val="24"/>
          <w:highlight w:val="none"/>
        </w:rPr>
        <w:t xml:space="preserve">   乙方（章）：                            </w:t>
      </w:r>
    </w:p>
    <w:p w14:paraId="4B57258E">
      <w:pPr>
        <w:spacing w:line="360" w:lineRule="auto"/>
        <w:ind w:left="280" w:hanging="240" w:hangingChars="100"/>
        <w:rPr>
          <w:rFonts w:hAnsi="宋体" w:cs="仿宋"/>
          <w:color w:val="auto"/>
          <w:sz w:val="24"/>
          <w:szCs w:val="24"/>
          <w:highlight w:val="none"/>
        </w:rPr>
      </w:pPr>
      <w:r>
        <w:rPr>
          <w:rFonts w:hAnsi="宋体" w:cs="仿宋"/>
          <w:color w:val="auto"/>
          <w:sz w:val="24"/>
          <w:szCs w:val="24"/>
          <w:highlight w:val="none"/>
        </w:rPr>
        <w:t xml:space="preserve">甲方代表：                                 乙方代表： </w:t>
      </w:r>
    </w:p>
    <w:p w14:paraId="0CC0B810">
      <w:pPr>
        <w:spacing w:line="360" w:lineRule="auto"/>
        <w:rPr>
          <w:rFonts w:hAnsi="宋体" w:cs="仿宋"/>
          <w:color w:val="auto"/>
          <w:sz w:val="24"/>
          <w:szCs w:val="24"/>
          <w:highlight w:val="none"/>
        </w:rPr>
      </w:pPr>
      <w:r>
        <w:rPr>
          <w:rFonts w:hAnsi="宋体" w:cs="仿宋"/>
          <w:color w:val="auto"/>
          <w:sz w:val="24"/>
          <w:szCs w:val="24"/>
          <w:highlight w:val="none"/>
        </w:rPr>
        <w:t xml:space="preserve">经 办 人：                                 现场代表： </w:t>
      </w:r>
    </w:p>
    <w:p w14:paraId="57F882D7">
      <w:pPr>
        <w:spacing w:line="360" w:lineRule="auto"/>
        <w:rPr>
          <w:rFonts w:hAnsi="宋体" w:cs="仿宋"/>
          <w:color w:val="auto"/>
          <w:sz w:val="24"/>
          <w:szCs w:val="24"/>
          <w:highlight w:val="none"/>
        </w:rPr>
      </w:pPr>
      <w:r>
        <w:rPr>
          <w:rFonts w:hAnsi="宋体" w:cs="仿宋"/>
          <w:color w:val="auto"/>
          <w:sz w:val="24"/>
          <w:szCs w:val="24"/>
          <w:highlight w:val="none"/>
        </w:rPr>
        <w:t>日    期：     年   月    日               日    期：</w:t>
      </w:r>
      <w:bookmarkEnd w:id="2"/>
      <w:bookmarkEnd w:id="3"/>
      <w:r>
        <w:rPr>
          <w:rFonts w:hAnsi="宋体" w:cs="仿宋"/>
          <w:color w:val="auto"/>
          <w:sz w:val="24"/>
          <w:szCs w:val="24"/>
          <w:highlight w:val="none"/>
        </w:rPr>
        <w:t xml:space="preserve">    年    月    日  </w:t>
      </w:r>
    </w:p>
    <w:p w14:paraId="57CB02F1">
      <w:pPr>
        <w:tabs>
          <w:tab w:val="left" w:pos="826"/>
        </w:tabs>
        <w:spacing w:line="360" w:lineRule="auto"/>
        <w:rPr>
          <w:rFonts w:hAnsi="宋体" w:cs="仿宋"/>
          <w:b/>
          <w:color w:val="auto"/>
          <w:sz w:val="22"/>
          <w:highlight w:val="none"/>
        </w:rPr>
      </w:pPr>
      <w:r>
        <w:rPr>
          <w:rFonts w:hAnsi="宋体" w:cs="仿宋"/>
          <w:b/>
          <w:color w:val="auto"/>
          <w:sz w:val="24"/>
          <w:szCs w:val="24"/>
          <w:highlight w:val="none"/>
        </w:rPr>
        <w:br w:type="page"/>
      </w:r>
      <w:r>
        <w:rPr>
          <w:rFonts w:hint="eastAsia" w:hAnsi="宋体" w:cs="仿宋"/>
          <w:b/>
          <w:color w:val="auto"/>
          <w:sz w:val="36"/>
          <w:szCs w:val="24"/>
          <w:highlight w:val="none"/>
          <w:lang w:eastAsia="zh-CN"/>
        </w:rPr>
        <w:tab/>
      </w:r>
      <w:r>
        <w:rPr>
          <w:rFonts w:hAnsi="宋体" w:cs="仿宋"/>
          <w:b/>
          <w:color w:val="auto"/>
          <w:sz w:val="22"/>
          <w:highlight w:val="none"/>
        </w:rPr>
        <w:t>附件1</w:t>
      </w:r>
    </w:p>
    <w:p w14:paraId="5494112E">
      <w:pPr>
        <w:spacing w:line="360" w:lineRule="auto"/>
        <w:jc w:val="center"/>
        <w:rPr>
          <w:rFonts w:hAnsi="宋体" w:cs="仿宋"/>
          <w:b/>
          <w:color w:val="auto"/>
          <w:sz w:val="24"/>
          <w:szCs w:val="24"/>
          <w:highlight w:val="none"/>
        </w:rPr>
      </w:pPr>
      <w:r>
        <w:rPr>
          <w:rFonts w:hAnsi="宋体" w:cs="仿宋"/>
          <w:b/>
          <w:color w:val="auto"/>
          <w:sz w:val="24"/>
          <w:szCs w:val="24"/>
          <w:highlight w:val="none"/>
        </w:rPr>
        <w:t>物资采购通知单</w:t>
      </w:r>
    </w:p>
    <w:p w14:paraId="03F9C8EB">
      <w:pPr>
        <w:spacing w:line="360" w:lineRule="auto"/>
        <w:rPr>
          <w:rFonts w:hAnsi="宋体" w:cs="仿宋"/>
          <w:color w:val="auto"/>
          <w:sz w:val="24"/>
          <w:szCs w:val="24"/>
          <w:highlight w:val="none"/>
        </w:rPr>
      </w:pPr>
      <w:r>
        <w:rPr>
          <w:rFonts w:hAnsi="宋体" w:cs="仿宋"/>
          <w:color w:val="auto"/>
          <w:sz w:val="24"/>
          <w:szCs w:val="24"/>
          <w:highlight w:val="none"/>
        </w:rPr>
        <w:t>项目名称：                                              NO:</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609"/>
        <w:gridCol w:w="607"/>
        <w:gridCol w:w="605"/>
        <w:gridCol w:w="859"/>
        <w:gridCol w:w="855"/>
        <w:gridCol w:w="609"/>
        <w:gridCol w:w="857"/>
        <w:gridCol w:w="1687"/>
        <w:gridCol w:w="1429"/>
        <w:gridCol w:w="995"/>
      </w:tblGrid>
      <w:tr w14:paraId="5369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trPr>
        <w:tc>
          <w:tcPr>
            <w:tcW w:w="742" w:type="dxa"/>
            <w:noWrap w:val="0"/>
            <w:vAlign w:val="center"/>
          </w:tcPr>
          <w:p w14:paraId="51DD72CF">
            <w:pPr>
              <w:spacing w:line="360" w:lineRule="auto"/>
              <w:jc w:val="center"/>
              <w:rPr>
                <w:rFonts w:hAnsi="宋体" w:cs="仿宋"/>
                <w:color w:val="auto"/>
                <w:sz w:val="21"/>
                <w:szCs w:val="21"/>
                <w:highlight w:val="none"/>
              </w:rPr>
            </w:pPr>
            <w:r>
              <w:rPr>
                <w:rFonts w:hAnsi="宋体" w:cs="仿宋"/>
                <w:color w:val="auto"/>
                <w:sz w:val="21"/>
                <w:szCs w:val="21"/>
                <w:highlight w:val="none"/>
              </w:rPr>
              <w:t>序号</w:t>
            </w:r>
          </w:p>
        </w:tc>
        <w:tc>
          <w:tcPr>
            <w:tcW w:w="1216" w:type="dxa"/>
            <w:gridSpan w:val="2"/>
            <w:noWrap w:val="0"/>
            <w:vAlign w:val="center"/>
          </w:tcPr>
          <w:p w14:paraId="55E4F0A3">
            <w:pPr>
              <w:spacing w:line="360" w:lineRule="auto"/>
              <w:jc w:val="center"/>
              <w:rPr>
                <w:rFonts w:hAnsi="宋体" w:cs="仿宋"/>
                <w:color w:val="auto"/>
                <w:sz w:val="21"/>
                <w:szCs w:val="21"/>
                <w:highlight w:val="none"/>
              </w:rPr>
            </w:pPr>
            <w:r>
              <w:rPr>
                <w:rFonts w:hAnsi="宋体" w:cs="仿宋"/>
                <w:color w:val="auto"/>
                <w:sz w:val="21"/>
                <w:szCs w:val="21"/>
                <w:highlight w:val="none"/>
              </w:rPr>
              <w:t>材料名称</w:t>
            </w:r>
          </w:p>
        </w:tc>
        <w:tc>
          <w:tcPr>
            <w:tcW w:w="1464" w:type="dxa"/>
            <w:gridSpan w:val="2"/>
            <w:noWrap w:val="0"/>
            <w:vAlign w:val="center"/>
          </w:tcPr>
          <w:p w14:paraId="678AFA2C">
            <w:pPr>
              <w:spacing w:line="360" w:lineRule="auto"/>
              <w:jc w:val="center"/>
              <w:rPr>
                <w:rFonts w:hAnsi="宋体" w:cs="仿宋"/>
                <w:color w:val="auto"/>
                <w:sz w:val="21"/>
                <w:szCs w:val="21"/>
                <w:highlight w:val="none"/>
              </w:rPr>
            </w:pPr>
            <w:r>
              <w:rPr>
                <w:rFonts w:hAnsi="宋体" w:cs="仿宋"/>
                <w:color w:val="auto"/>
                <w:sz w:val="21"/>
                <w:szCs w:val="21"/>
                <w:highlight w:val="none"/>
              </w:rPr>
              <w:t>型号规格</w:t>
            </w:r>
          </w:p>
        </w:tc>
        <w:tc>
          <w:tcPr>
            <w:tcW w:w="1464" w:type="dxa"/>
            <w:gridSpan w:val="2"/>
            <w:noWrap w:val="0"/>
            <w:vAlign w:val="center"/>
          </w:tcPr>
          <w:p w14:paraId="784F99AD">
            <w:pPr>
              <w:spacing w:line="360" w:lineRule="auto"/>
              <w:jc w:val="center"/>
              <w:rPr>
                <w:rFonts w:hAnsi="宋体" w:cs="仿宋"/>
                <w:color w:val="auto"/>
                <w:sz w:val="21"/>
                <w:szCs w:val="21"/>
                <w:highlight w:val="none"/>
              </w:rPr>
            </w:pPr>
            <w:r>
              <w:rPr>
                <w:rFonts w:hAnsi="宋体" w:cs="仿宋"/>
                <w:color w:val="auto"/>
                <w:sz w:val="21"/>
                <w:szCs w:val="21"/>
                <w:highlight w:val="none"/>
              </w:rPr>
              <w:t>使用部位</w:t>
            </w:r>
          </w:p>
        </w:tc>
        <w:tc>
          <w:tcPr>
            <w:tcW w:w="857" w:type="dxa"/>
            <w:noWrap w:val="0"/>
            <w:vAlign w:val="center"/>
          </w:tcPr>
          <w:p w14:paraId="1766ED97">
            <w:pPr>
              <w:spacing w:line="360" w:lineRule="auto"/>
              <w:jc w:val="center"/>
              <w:rPr>
                <w:rFonts w:hAnsi="宋体" w:cs="仿宋"/>
                <w:color w:val="auto"/>
                <w:sz w:val="21"/>
                <w:szCs w:val="21"/>
                <w:highlight w:val="none"/>
              </w:rPr>
            </w:pPr>
            <w:r>
              <w:rPr>
                <w:rFonts w:hAnsi="宋体" w:cs="仿宋"/>
                <w:color w:val="auto"/>
                <w:sz w:val="21"/>
                <w:szCs w:val="21"/>
                <w:highlight w:val="none"/>
              </w:rPr>
              <w:t>数 量</w:t>
            </w:r>
          </w:p>
        </w:tc>
        <w:tc>
          <w:tcPr>
            <w:tcW w:w="1687" w:type="dxa"/>
            <w:noWrap w:val="0"/>
            <w:vAlign w:val="center"/>
          </w:tcPr>
          <w:p w14:paraId="210BA9B1">
            <w:pPr>
              <w:spacing w:line="360" w:lineRule="auto"/>
              <w:jc w:val="center"/>
              <w:rPr>
                <w:rFonts w:hAnsi="宋体" w:cs="仿宋"/>
                <w:color w:val="auto"/>
                <w:sz w:val="21"/>
                <w:szCs w:val="21"/>
                <w:highlight w:val="none"/>
              </w:rPr>
            </w:pPr>
            <w:r>
              <w:rPr>
                <w:rFonts w:hAnsi="宋体" w:cs="仿宋"/>
                <w:color w:val="auto"/>
                <w:sz w:val="21"/>
                <w:szCs w:val="21"/>
                <w:highlight w:val="none"/>
              </w:rPr>
              <w:t>要求进货</w:t>
            </w:r>
          </w:p>
          <w:p w14:paraId="2020C2CA">
            <w:pPr>
              <w:spacing w:line="360" w:lineRule="auto"/>
              <w:jc w:val="center"/>
              <w:rPr>
                <w:rFonts w:hAnsi="宋体" w:cs="仿宋"/>
                <w:color w:val="auto"/>
                <w:sz w:val="21"/>
                <w:szCs w:val="21"/>
                <w:highlight w:val="none"/>
              </w:rPr>
            </w:pPr>
            <w:r>
              <w:rPr>
                <w:rFonts w:hAnsi="宋体" w:cs="仿宋"/>
                <w:color w:val="auto"/>
                <w:sz w:val="21"/>
                <w:szCs w:val="21"/>
                <w:highlight w:val="none"/>
              </w:rPr>
              <w:t>日期</w:t>
            </w:r>
          </w:p>
        </w:tc>
        <w:tc>
          <w:tcPr>
            <w:tcW w:w="1429" w:type="dxa"/>
            <w:noWrap w:val="0"/>
            <w:vAlign w:val="center"/>
          </w:tcPr>
          <w:p w14:paraId="390DE5EC">
            <w:pPr>
              <w:spacing w:line="360" w:lineRule="auto"/>
              <w:jc w:val="center"/>
              <w:rPr>
                <w:rFonts w:hAnsi="宋体" w:cs="仿宋"/>
                <w:color w:val="auto"/>
                <w:sz w:val="21"/>
                <w:szCs w:val="21"/>
                <w:highlight w:val="none"/>
              </w:rPr>
            </w:pPr>
            <w:r>
              <w:rPr>
                <w:rFonts w:hAnsi="宋体" w:cs="仿宋"/>
                <w:color w:val="auto"/>
                <w:sz w:val="21"/>
                <w:szCs w:val="21"/>
                <w:highlight w:val="none"/>
              </w:rPr>
              <w:t>答复进货</w:t>
            </w:r>
          </w:p>
          <w:p w14:paraId="0CFD085D">
            <w:pPr>
              <w:spacing w:line="360" w:lineRule="auto"/>
              <w:jc w:val="center"/>
              <w:rPr>
                <w:rFonts w:hAnsi="宋体" w:cs="仿宋"/>
                <w:color w:val="auto"/>
                <w:sz w:val="21"/>
                <w:szCs w:val="21"/>
                <w:highlight w:val="none"/>
              </w:rPr>
            </w:pPr>
            <w:r>
              <w:rPr>
                <w:rFonts w:hAnsi="宋体" w:cs="仿宋"/>
                <w:color w:val="auto"/>
                <w:sz w:val="21"/>
                <w:szCs w:val="21"/>
                <w:highlight w:val="none"/>
              </w:rPr>
              <w:t>日期</w:t>
            </w:r>
          </w:p>
        </w:tc>
        <w:tc>
          <w:tcPr>
            <w:tcW w:w="995" w:type="dxa"/>
            <w:noWrap w:val="0"/>
            <w:vAlign w:val="center"/>
          </w:tcPr>
          <w:p w14:paraId="7CD58728">
            <w:pPr>
              <w:spacing w:line="360" w:lineRule="auto"/>
              <w:jc w:val="center"/>
              <w:rPr>
                <w:rFonts w:hAnsi="宋体" w:cs="仿宋"/>
                <w:color w:val="auto"/>
                <w:sz w:val="21"/>
                <w:szCs w:val="21"/>
                <w:highlight w:val="none"/>
              </w:rPr>
            </w:pPr>
            <w:r>
              <w:rPr>
                <w:rFonts w:hAnsi="宋体" w:cs="仿宋"/>
                <w:color w:val="auto"/>
                <w:sz w:val="21"/>
                <w:szCs w:val="21"/>
                <w:highlight w:val="none"/>
              </w:rPr>
              <w:t>备注</w:t>
            </w:r>
          </w:p>
        </w:tc>
      </w:tr>
      <w:tr w14:paraId="67126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742" w:type="dxa"/>
            <w:noWrap w:val="0"/>
            <w:vAlign w:val="center"/>
          </w:tcPr>
          <w:p w14:paraId="48C62E45">
            <w:pPr>
              <w:spacing w:line="360" w:lineRule="auto"/>
              <w:jc w:val="center"/>
              <w:rPr>
                <w:rFonts w:hAnsi="宋体" w:cs="仿宋"/>
                <w:color w:val="auto"/>
                <w:sz w:val="21"/>
                <w:szCs w:val="21"/>
                <w:highlight w:val="none"/>
              </w:rPr>
            </w:pPr>
            <w:r>
              <w:rPr>
                <w:rFonts w:hAnsi="宋体" w:cs="仿宋"/>
                <w:color w:val="auto"/>
                <w:sz w:val="21"/>
                <w:szCs w:val="21"/>
                <w:highlight w:val="none"/>
              </w:rPr>
              <w:t>1</w:t>
            </w:r>
          </w:p>
        </w:tc>
        <w:tc>
          <w:tcPr>
            <w:tcW w:w="1216" w:type="dxa"/>
            <w:gridSpan w:val="2"/>
            <w:noWrap w:val="0"/>
            <w:vAlign w:val="center"/>
          </w:tcPr>
          <w:p w14:paraId="71C7D553">
            <w:pPr>
              <w:spacing w:line="360" w:lineRule="auto"/>
              <w:jc w:val="center"/>
              <w:rPr>
                <w:rFonts w:hAnsi="宋体" w:cs="仿宋"/>
                <w:color w:val="auto"/>
                <w:sz w:val="21"/>
                <w:szCs w:val="21"/>
                <w:highlight w:val="none"/>
              </w:rPr>
            </w:pPr>
          </w:p>
        </w:tc>
        <w:tc>
          <w:tcPr>
            <w:tcW w:w="1464" w:type="dxa"/>
            <w:gridSpan w:val="2"/>
            <w:noWrap w:val="0"/>
            <w:vAlign w:val="center"/>
          </w:tcPr>
          <w:p w14:paraId="187324E8">
            <w:pPr>
              <w:spacing w:line="360" w:lineRule="auto"/>
              <w:jc w:val="center"/>
              <w:rPr>
                <w:rFonts w:hAnsi="宋体" w:cs="仿宋"/>
                <w:color w:val="auto"/>
                <w:sz w:val="21"/>
                <w:szCs w:val="21"/>
                <w:highlight w:val="none"/>
              </w:rPr>
            </w:pPr>
          </w:p>
        </w:tc>
        <w:tc>
          <w:tcPr>
            <w:tcW w:w="1464" w:type="dxa"/>
            <w:gridSpan w:val="2"/>
            <w:noWrap w:val="0"/>
            <w:vAlign w:val="center"/>
          </w:tcPr>
          <w:p w14:paraId="4F447E43">
            <w:pPr>
              <w:spacing w:line="360" w:lineRule="auto"/>
              <w:jc w:val="center"/>
              <w:rPr>
                <w:rFonts w:hAnsi="宋体" w:cs="仿宋"/>
                <w:color w:val="auto"/>
                <w:sz w:val="21"/>
                <w:szCs w:val="21"/>
                <w:highlight w:val="none"/>
              </w:rPr>
            </w:pPr>
          </w:p>
        </w:tc>
        <w:tc>
          <w:tcPr>
            <w:tcW w:w="857" w:type="dxa"/>
            <w:noWrap w:val="0"/>
            <w:vAlign w:val="center"/>
          </w:tcPr>
          <w:p w14:paraId="3A0E762D">
            <w:pPr>
              <w:spacing w:line="360" w:lineRule="auto"/>
              <w:jc w:val="center"/>
              <w:rPr>
                <w:rFonts w:hAnsi="宋体" w:cs="仿宋"/>
                <w:color w:val="auto"/>
                <w:sz w:val="21"/>
                <w:szCs w:val="21"/>
                <w:highlight w:val="none"/>
              </w:rPr>
            </w:pPr>
          </w:p>
        </w:tc>
        <w:tc>
          <w:tcPr>
            <w:tcW w:w="1687" w:type="dxa"/>
            <w:noWrap w:val="0"/>
            <w:vAlign w:val="center"/>
          </w:tcPr>
          <w:p w14:paraId="01D4AF32">
            <w:pPr>
              <w:spacing w:line="360" w:lineRule="auto"/>
              <w:jc w:val="center"/>
              <w:rPr>
                <w:rFonts w:hAnsi="宋体" w:cs="仿宋"/>
                <w:color w:val="auto"/>
                <w:sz w:val="21"/>
                <w:szCs w:val="21"/>
                <w:highlight w:val="none"/>
              </w:rPr>
            </w:pPr>
          </w:p>
        </w:tc>
        <w:tc>
          <w:tcPr>
            <w:tcW w:w="1429" w:type="dxa"/>
            <w:noWrap w:val="0"/>
            <w:vAlign w:val="center"/>
          </w:tcPr>
          <w:p w14:paraId="0271087D">
            <w:pPr>
              <w:spacing w:line="360" w:lineRule="auto"/>
              <w:jc w:val="center"/>
              <w:rPr>
                <w:rFonts w:hAnsi="宋体" w:cs="仿宋"/>
                <w:color w:val="auto"/>
                <w:sz w:val="21"/>
                <w:szCs w:val="21"/>
                <w:highlight w:val="none"/>
              </w:rPr>
            </w:pPr>
          </w:p>
        </w:tc>
        <w:tc>
          <w:tcPr>
            <w:tcW w:w="995" w:type="dxa"/>
            <w:noWrap w:val="0"/>
            <w:vAlign w:val="center"/>
          </w:tcPr>
          <w:p w14:paraId="79E6E82E">
            <w:pPr>
              <w:spacing w:line="360" w:lineRule="auto"/>
              <w:jc w:val="center"/>
              <w:rPr>
                <w:rFonts w:hAnsi="宋体" w:cs="仿宋"/>
                <w:color w:val="auto"/>
                <w:sz w:val="21"/>
                <w:szCs w:val="21"/>
                <w:highlight w:val="none"/>
              </w:rPr>
            </w:pPr>
          </w:p>
        </w:tc>
      </w:tr>
      <w:tr w14:paraId="1F2C1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742" w:type="dxa"/>
            <w:noWrap w:val="0"/>
            <w:vAlign w:val="center"/>
          </w:tcPr>
          <w:p w14:paraId="55881BDE">
            <w:pPr>
              <w:spacing w:line="360" w:lineRule="auto"/>
              <w:jc w:val="center"/>
              <w:rPr>
                <w:rFonts w:hAnsi="宋体" w:cs="仿宋"/>
                <w:color w:val="auto"/>
                <w:sz w:val="21"/>
                <w:szCs w:val="21"/>
                <w:highlight w:val="none"/>
              </w:rPr>
            </w:pPr>
            <w:r>
              <w:rPr>
                <w:rFonts w:hAnsi="宋体" w:cs="仿宋"/>
                <w:color w:val="auto"/>
                <w:sz w:val="21"/>
                <w:szCs w:val="21"/>
                <w:highlight w:val="none"/>
              </w:rPr>
              <w:t>2</w:t>
            </w:r>
          </w:p>
        </w:tc>
        <w:tc>
          <w:tcPr>
            <w:tcW w:w="1216" w:type="dxa"/>
            <w:gridSpan w:val="2"/>
            <w:noWrap w:val="0"/>
            <w:vAlign w:val="center"/>
          </w:tcPr>
          <w:p w14:paraId="44FE036D">
            <w:pPr>
              <w:spacing w:line="360" w:lineRule="auto"/>
              <w:jc w:val="center"/>
              <w:rPr>
                <w:rFonts w:hAnsi="宋体" w:cs="仿宋"/>
                <w:color w:val="auto"/>
                <w:sz w:val="21"/>
                <w:szCs w:val="21"/>
                <w:highlight w:val="none"/>
              </w:rPr>
            </w:pPr>
          </w:p>
        </w:tc>
        <w:tc>
          <w:tcPr>
            <w:tcW w:w="1464" w:type="dxa"/>
            <w:gridSpan w:val="2"/>
            <w:noWrap w:val="0"/>
            <w:vAlign w:val="center"/>
          </w:tcPr>
          <w:p w14:paraId="720FEAD5">
            <w:pPr>
              <w:spacing w:line="360" w:lineRule="auto"/>
              <w:jc w:val="center"/>
              <w:rPr>
                <w:rFonts w:hAnsi="宋体" w:cs="仿宋"/>
                <w:color w:val="auto"/>
                <w:sz w:val="21"/>
                <w:szCs w:val="21"/>
                <w:highlight w:val="none"/>
              </w:rPr>
            </w:pPr>
          </w:p>
        </w:tc>
        <w:tc>
          <w:tcPr>
            <w:tcW w:w="1464" w:type="dxa"/>
            <w:gridSpan w:val="2"/>
            <w:noWrap w:val="0"/>
            <w:vAlign w:val="center"/>
          </w:tcPr>
          <w:p w14:paraId="14222BC1">
            <w:pPr>
              <w:spacing w:line="360" w:lineRule="auto"/>
              <w:jc w:val="center"/>
              <w:rPr>
                <w:rFonts w:hAnsi="宋体" w:cs="仿宋"/>
                <w:color w:val="auto"/>
                <w:sz w:val="21"/>
                <w:szCs w:val="21"/>
                <w:highlight w:val="none"/>
              </w:rPr>
            </w:pPr>
          </w:p>
        </w:tc>
        <w:tc>
          <w:tcPr>
            <w:tcW w:w="857" w:type="dxa"/>
            <w:noWrap w:val="0"/>
            <w:vAlign w:val="center"/>
          </w:tcPr>
          <w:p w14:paraId="00B02B07">
            <w:pPr>
              <w:spacing w:line="360" w:lineRule="auto"/>
              <w:jc w:val="center"/>
              <w:rPr>
                <w:rFonts w:hAnsi="宋体" w:cs="仿宋"/>
                <w:color w:val="auto"/>
                <w:sz w:val="21"/>
                <w:szCs w:val="21"/>
                <w:highlight w:val="none"/>
              </w:rPr>
            </w:pPr>
          </w:p>
        </w:tc>
        <w:tc>
          <w:tcPr>
            <w:tcW w:w="1687" w:type="dxa"/>
            <w:noWrap w:val="0"/>
            <w:vAlign w:val="center"/>
          </w:tcPr>
          <w:p w14:paraId="1CE63A2A">
            <w:pPr>
              <w:spacing w:line="360" w:lineRule="auto"/>
              <w:jc w:val="center"/>
              <w:rPr>
                <w:rFonts w:hAnsi="宋体" w:cs="仿宋"/>
                <w:color w:val="auto"/>
                <w:sz w:val="21"/>
                <w:szCs w:val="21"/>
                <w:highlight w:val="none"/>
              </w:rPr>
            </w:pPr>
          </w:p>
        </w:tc>
        <w:tc>
          <w:tcPr>
            <w:tcW w:w="1429" w:type="dxa"/>
            <w:noWrap w:val="0"/>
            <w:vAlign w:val="center"/>
          </w:tcPr>
          <w:p w14:paraId="15B5B6C7">
            <w:pPr>
              <w:spacing w:line="360" w:lineRule="auto"/>
              <w:jc w:val="center"/>
              <w:rPr>
                <w:rFonts w:hAnsi="宋体" w:cs="仿宋"/>
                <w:color w:val="auto"/>
                <w:sz w:val="21"/>
                <w:szCs w:val="21"/>
                <w:highlight w:val="none"/>
              </w:rPr>
            </w:pPr>
          </w:p>
        </w:tc>
        <w:tc>
          <w:tcPr>
            <w:tcW w:w="995" w:type="dxa"/>
            <w:noWrap w:val="0"/>
            <w:vAlign w:val="center"/>
          </w:tcPr>
          <w:p w14:paraId="30AA36B6">
            <w:pPr>
              <w:spacing w:line="360" w:lineRule="auto"/>
              <w:jc w:val="center"/>
              <w:rPr>
                <w:rFonts w:hAnsi="宋体" w:cs="仿宋"/>
                <w:color w:val="auto"/>
                <w:sz w:val="21"/>
                <w:szCs w:val="21"/>
                <w:highlight w:val="none"/>
              </w:rPr>
            </w:pPr>
          </w:p>
        </w:tc>
      </w:tr>
      <w:tr w14:paraId="66933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742" w:type="dxa"/>
            <w:noWrap w:val="0"/>
            <w:vAlign w:val="center"/>
          </w:tcPr>
          <w:p w14:paraId="68C8B25D">
            <w:pPr>
              <w:spacing w:line="360" w:lineRule="auto"/>
              <w:jc w:val="center"/>
              <w:rPr>
                <w:rFonts w:hAnsi="宋体" w:cs="仿宋"/>
                <w:color w:val="auto"/>
                <w:sz w:val="21"/>
                <w:szCs w:val="21"/>
                <w:highlight w:val="none"/>
              </w:rPr>
            </w:pPr>
            <w:r>
              <w:rPr>
                <w:rFonts w:hAnsi="宋体" w:cs="仿宋"/>
                <w:color w:val="auto"/>
                <w:sz w:val="21"/>
                <w:szCs w:val="21"/>
                <w:highlight w:val="none"/>
              </w:rPr>
              <w:t>3</w:t>
            </w:r>
          </w:p>
        </w:tc>
        <w:tc>
          <w:tcPr>
            <w:tcW w:w="1216" w:type="dxa"/>
            <w:gridSpan w:val="2"/>
            <w:noWrap w:val="0"/>
            <w:vAlign w:val="center"/>
          </w:tcPr>
          <w:p w14:paraId="196FFE06">
            <w:pPr>
              <w:spacing w:line="360" w:lineRule="auto"/>
              <w:jc w:val="center"/>
              <w:rPr>
                <w:rFonts w:hAnsi="宋体" w:cs="仿宋"/>
                <w:color w:val="auto"/>
                <w:sz w:val="21"/>
                <w:szCs w:val="21"/>
                <w:highlight w:val="none"/>
              </w:rPr>
            </w:pPr>
          </w:p>
        </w:tc>
        <w:tc>
          <w:tcPr>
            <w:tcW w:w="1464" w:type="dxa"/>
            <w:gridSpan w:val="2"/>
            <w:noWrap w:val="0"/>
            <w:vAlign w:val="center"/>
          </w:tcPr>
          <w:p w14:paraId="5FCC7F9B">
            <w:pPr>
              <w:spacing w:line="360" w:lineRule="auto"/>
              <w:jc w:val="center"/>
              <w:rPr>
                <w:rFonts w:hAnsi="宋体" w:cs="仿宋"/>
                <w:color w:val="auto"/>
                <w:sz w:val="21"/>
                <w:szCs w:val="21"/>
                <w:highlight w:val="none"/>
              </w:rPr>
            </w:pPr>
          </w:p>
        </w:tc>
        <w:tc>
          <w:tcPr>
            <w:tcW w:w="1464" w:type="dxa"/>
            <w:gridSpan w:val="2"/>
            <w:noWrap w:val="0"/>
            <w:vAlign w:val="center"/>
          </w:tcPr>
          <w:p w14:paraId="5FCBA143">
            <w:pPr>
              <w:spacing w:line="360" w:lineRule="auto"/>
              <w:jc w:val="center"/>
              <w:rPr>
                <w:rFonts w:hAnsi="宋体" w:cs="仿宋"/>
                <w:color w:val="auto"/>
                <w:sz w:val="21"/>
                <w:szCs w:val="21"/>
                <w:highlight w:val="none"/>
              </w:rPr>
            </w:pPr>
          </w:p>
        </w:tc>
        <w:tc>
          <w:tcPr>
            <w:tcW w:w="857" w:type="dxa"/>
            <w:noWrap w:val="0"/>
            <w:vAlign w:val="center"/>
          </w:tcPr>
          <w:p w14:paraId="74C2940A">
            <w:pPr>
              <w:spacing w:line="360" w:lineRule="auto"/>
              <w:jc w:val="center"/>
              <w:rPr>
                <w:rFonts w:hAnsi="宋体" w:cs="仿宋"/>
                <w:color w:val="auto"/>
                <w:sz w:val="21"/>
                <w:szCs w:val="21"/>
                <w:highlight w:val="none"/>
              </w:rPr>
            </w:pPr>
          </w:p>
        </w:tc>
        <w:tc>
          <w:tcPr>
            <w:tcW w:w="1687" w:type="dxa"/>
            <w:noWrap w:val="0"/>
            <w:vAlign w:val="center"/>
          </w:tcPr>
          <w:p w14:paraId="59907999">
            <w:pPr>
              <w:spacing w:line="360" w:lineRule="auto"/>
              <w:jc w:val="center"/>
              <w:rPr>
                <w:rFonts w:hAnsi="宋体" w:cs="仿宋"/>
                <w:color w:val="auto"/>
                <w:sz w:val="21"/>
                <w:szCs w:val="21"/>
                <w:highlight w:val="none"/>
              </w:rPr>
            </w:pPr>
          </w:p>
        </w:tc>
        <w:tc>
          <w:tcPr>
            <w:tcW w:w="1429" w:type="dxa"/>
            <w:noWrap w:val="0"/>
            <w:vAlign w:val="center"/>
          </w:tcPr>
          <w:p w14:paraId="40B5646E">
            <w:pPr>
              <w:spacing w:line="360" w:lineRule="auto"/>
              <w:jc w:val="center"/>
              <w:rPr>
                <w:rFonts w:hAnsi="宋体" w:cs="仿宋"/>
                <w:color w:val="auto"/>
                <w:sz w:val="21"/>
                <w:szCs w:val="21"/>
                <w:highlight w:val="none"/>
              </w:rPr>
            </w:pPr>
          </w:p>
        </w:tc>
        <w:tc>
          <w:tcPr>
            <w:tcW w:w="995" w:type="dxa"/>
            <w:noWrap w:val="0"/>
            <w:vAlign w:val="center"/>
          </w:tcPr>
          <w:p w14:paraId="1523AFF7">
            <w:pPr>
              <w:spacing w:line="360" w:lineRule="auto"/>
              <w:jc w:val="center"/>
              <w:rPr>
                <w:rFonts w:hAnsi="宋体" w:cs="仿宋"/>
                <w:color w:val="auto"/>
                <w:sz w:val="21"/>
                <w:szCs w:val="21"/>
                <w:highlight w:val="none"/>
              </w:rPr>
            </w:pPr>
          </w:p>
        </w:tc>
      </w:tr>
      <w:tr w14:paraId="6E8A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742" w:type="dxa"/>
            <w:noWrap w:val="0"/>
            <w:vAlign w:val="center"/>
          </w:tcPr>
          <w:p w14:paraId="79E461A8">
            <w:pPr>
              <w:spacing w:line="360" w:lineRule="auto"/>
              <w:jc w:val="center"/>
              <w:rPr>
                <w:rFonts w:hAnsi="宋体" w:cs="仿宋"/>
                <w:color w:val="auto"/>
                <w:sz w:val="21"/>
                <w:szCs w:val="21"/>
                <w:highlight w:val="none"/>
              </w:rPr>
            </w:pPr>
            <w:r>
              <w:rPr>
                <w:rFonts w:hAnsi="宋体" w:cs="仿宋"/>
                <w:color w:val="auto"/>
                <w:sz w:val="21"/>
                <w:szCs w:val="21"/>
                <w:highlight w:val="none"/>
              </w:rPr>
              <w:t>4</w:t>
            </w:r>
          </w:p>
        </w:tc>
        <w:tc>
          <w:tcPr>
            <w:tcW w:w="1216" w:type="dxa"/>
            <w:gridSpan w:val="2"/>
            <w:noWrap w:val="0"/>
            <w:vAlign w:val="center"/>
          </w:tcPr>
          <w:p w14:paraId="52261642">
            <w:pPr>
              <w:spacing w:line="360" w:lineRule="auto"/>
              <w:jc w:val="center"/>
              <w:rPr>
                <w:rFonts w:hAnsi="宋体" w:cs="仿宋"/>
                <w:color w:val="auto"/>
                <w:sz w:val="21"/>
                <w:szCs w:val="21"/>
                <w:highlight w:val="none"/>
              </w:rPr>
            </w:pPr>
          </w:p>
        </w:tc>
        <w:tc>
          <w:tcPr>
            <w:tcW w:w="1464" w:type="dxa"/>
            <w:gridSpan w:val="2"/>
            <w:noWrap w:val="0"/>
            <w:vAlign w:val="center"/>
          </w:tcPr>
          <w:p w14:paraId="6C0618F6">
            <w:pPr>
              <w:spacing w:line="360" w:lineRule="auto"/>
              <w:jc w:val="center"/>
              <w:rPr>
                <w:rFonts w:hAnsi="宋体" w:cs="仿宋"/>
                <w:color w:val="auto"/>
                <w:sz w:val="21"/>
                <w:szCs w:val="21"/>
                <w:highlight w:val="none"/>
              </w:rPr>
            </w:pPr>
          </w:p>
        </w:tc>
        <w:tc>
          <w:tcPr>
            <w:tcW w:w="1464" w:type="dxa"/>
            <w:gridSpan w:val="2"/>
            <w:noWrap w:val="0"/>
            <w:vAlign w:val="center"/>
          </w:tcPr>
          <w:p w14:paraId="49F2F0FD">
            <w:pPr>
              <w:spacing w:line="360" w:lineRule="auto"/>
              <w:jc w:val="center"/>
              <w:rPr>
                <w:rFonts w:hAnsi="宋体" w:cs="仿宋"/>
                <w:color w:val="auto"/>
                <w:sz w:val="21"/>
                <w:szCs w:val="21"/>
                <w:highlight w:val="none"/>
              </w:rPr>
            </w:pPr>
          </w:p>
        </w:tc>
        <w:tc>
          <w:tcPr>
            <w:tcW w:w="857" w:type="dxa"/>
            <w:noWrap w:val="0"/>
            <w:vAlign w:val="center"/>
          </w:tcPr>
          <w:p w14:paraId="25295905">
            <w:pPr>
              <w:spacing w:line="360" w:lineRule="auto"/>
              <w:jc w:val="center"/>
              <w:rPr>
                <w:rFonts w:hAnsi="宋体" w:cs="仿宋"/>
                <w:color w:val="auto"/>
                <w:sz w:val="21"/>
                <w:szCs w:val="21"/>
                <w:highlight w:val="none"/>
              </w:rPr>
            </w:pPr>
          </w:p>
        </w:tc>
        <w:tc>
          <w:tcPr>
            <w:tcW w:w="1687" w:type="dxa"/>
            <w:noWrap w:val="0"/>
            <w:vAlign w:val="center"/>
          </w:tcPr>
          <w:p w14:paraId="7AB52C8D">
            <w:pPr>
              <w:spacing w:line="360" w:lineRule="auto"/>
              <w:jc w:val="center"/>
              <w:rPr>
                <w:rFonts w:hAnsi="宋体" w:cs="仿宋"/>
                <w:color w:val="auto"/>
                <w:sz w:val="21"/>
                <w:szCs w:val="21"/>
                <w:highlight w:val="none"/>
              </w:rPr>
            </w:pPr>
          </w:p>
        </w:tc>
        <w:tc>
          <w:tcPr>
            <w:tcW w:w="1429" w:type="dxa"/>
            <w:noWrap w:val="0"/>
            <w:vAlign w:val="center"/>
          </w:tcPr>
          <w:p w14:paraId="083DFA9B">
            <w:pPr>
              <w:spacing w:line="360" w:lineRule="auto"/>
              <w:jc w:val="center"/>
              <w:rPr>
                <w:rFonts w:hAnsi="宋体" w:cs="仿宋"/>
                <w:color w:val="auto"/>
                <w:sz w:val="21"/>
                <w:szCs w:val="21"/>
                <w:highlight w:val="none"/>
              </w:rPr>
            </w:pPr>
          </w:p>
        </w:tc>
        <w:tc>
          <w:tcPr>
            <w:tcW w:w="995" w:type="dxa"/>
            <w:noWrap w:val="0"/>
            <w:vAlign w:val="center"/>
          </w:tcPr>
          <w:p w14:paraId="0347B0A0">
            <w:pPr>
              <w:spacing w:line="360" w:lineRule="auto"/>
              <w:jc w:val="center"/>
              <w:rPr>
                <w:rFonts w:hAnsi="宋体" w:cs="仿宋"/>
                <w:color w:val="auto"/>
                <w:sz w:val="21"/>
                <w:szCs w:val="21"/>
                <w:highlight w:val="none"/>
              </w:rPr>
            </w:pPr>
          </w:p>
        </w:tc>
      </w:tr>
      <w:tr w14:paraId="3471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742" w:type="dxa"/>
            <w:noWrap w:val="0"/>
            <w:vAlign w:val="center"/>
          </w:tcPr>
          <w:p w14:paraId="412C6CF3">
            <w:pPr>
              <w:spacing w:line="360" w:lineRule="auto"/>
              <w:jc w:val="center"/>
              <w:rPr>
                <w:rFonts w:hAnsi="宋体" w:cs="仿宋"/>
                <w:color w:val="auto"/>
                <w:sz w:val="21"/>
                <w:szCs w:val="21"/>
                <w:highlight w:val="none"/>
              </w:rPr>
            </w:pPr>
            <w:r>
              <w:rPr>
                <w:rFonts w:hAnsi="宋体" w:cs="仿宋"/>
                <w:color w:val="auto"/>
                <w:sz w:val="21"/>
                <w:szCs w:val="21"/>
                <w:highlight w:val="none"/>
              </w:rPr>
              <w:t>5</w:t>
            </w:r>
          </w:p>
        </w:tc>
        <w:tc>
          <w:tcPr>
            <w:tcW w:w="1216" w:type="dxa"/>
            <w:gridSpan w:val="2"/>
            <w:noWrap w:val="0"/>
            <w:vAlign w:val="center"/>
          </w:tcPr>
          <w:p w14:paraId="2E0502D1">
            <w:pPr>
              <w:spacing w:line="360" w:lineRule="auto"/>
              <w:jc w:val="center"/>
              <w:rPr>
                <w:rFonts w:hAnsi="宋体" w:cs="仿宋"/>
                <w:color w:val="auto"/>
                <w:sz w:val="21"/>
                <w:szCs w:val="21"/>
                <w:highlight w:val="none"/>
              </w:rPr>
            </w:pPr>
          </w:p>
        </w:tc>
        <w:tc>
          <w:tcPr>
            <w:tcW w:w="1464" w:type="dxa"/>
            <w:gridSpan w:val="2"/>
            <w:noWrap w:val="0"/>
            <w:vAlign w:val="center"/>
          </w:tcPr>
          <w:p w14:paraId="11F943C0">
            <w:pPr>
              <w:spacing w:line="360" w:lineRule="auto"/>
              <w:jc w:val="center"/>
              <w:rPr>
                <w:rFonts w:hAnsi="宋体" w:cs="仿宋"/>
                <w:color w:val="auto"/>
                <w:sz w:val="21"/>
                <w:szCs w:val="21"/>
                <w:highlight w:val="none"/>
              </w:rPr>
            </w:pPr>
          </w:p>
        </w:tc>
        <w:tc>
          <w:tcPr>
            <w:tcW w:w="1464" w:type="dxa"/>
            <w:gridSpan w:val="2"/>
            <w:noWrap w:val="0"/>
            <w:vAlign w:val="center"/>
          </w:tcPr>
          <w:p w14:paraId="16891234">
            <w:pPr>
              <w:spacing w:line="360" w:lineRule="auto"/>
              <w:jc w:val="center"/>
              <w:rPr>
                <w:rFonts w:hAnsi="宋体" w:cs="仿宋"/>
                <w:color w:val="auto"/>
                <w:sz w:val="21"/>
                <w:szCs w:val="21"/>
                <w:highlight w:val="none"/>
              </w:rPr>
            </w:pPr>
          </w:p>
        </w:tc>
        <w:tc>
          <w:tcPr>
            <w:tcW w:w="857" w:type="dxa"/>
            <w:noWrap w:val="0"/>
            <w:vAlign w:val="center"/>
          </w:tcPr>
          <w:p w14:paraId="2524BEEC">
            <w:pPr>
              <w:spacing w:line="360" w:lineRule="auto"/>
              <w:jc w:val="center"/>
              <w:rPr>
                <w:rFonts w:hAnsi="宋体" w:cs="仿宋"/>
                <w:color w:val="auto"/>
                <w:sz w:val="21"/>
                <w:szCs w:val="21"/>
                <w:highlight w:val="none"/>
              </w:rPr>
            </w:pPr>
          </w:p>
        </w:tc>
        <w:tc>
          <w:tcPr>
            <w:tcW w:w="1687" w:type="dxa"/>
            <w:noWrap w:val="0"/>
            <w:vAlign w:val="center"/>
          </w:tcPr>
          <w:p w14:paraId="7445EC8D">
            <w:pPr>
              <w:spacing w:line="360" w:lineRule="auto"/>
              <w:jc w:val="center"/>
              <w:rPr>
                <w:rFonts w:hAnsi="宋体" w:cs="仿宋"/>
                <w:color w:val="auto"/>
                <w:sz w:val="21"/>
                <w:szCs w:val="21"/>
                <w:highlight w:val="none"/>
              </w:rPr>
            </w:pPr>
          </w:p>
        </w:tc>
        <w:tc>
          <w:tcPr>
            <w:tcW w:w="1429" w:type="dxa"/>
            <w:noWrap w:val="0"/>
            <w:vAlign w:val="center"/>
          </w:tcPr>
          <w:p w14:paraId="3E1845CC">
            <w:pPr>
              <w:spacing w:line="360" w:lineRule="auto"/>
              <w:jc w:val="center"/>
              <w:rPr>
                <w:rFonts w:hAnsi="宋体" w:cs="仿宋"/>
                <w:color w:val="auto"/>
                <w:sz w:val="21"/>
                <w:szCs w:val="21"/>
                <w:highlight w:val="none"/>
              </w:rPr>
            </w:pPr>
          </w:p>
        </w:tc>
        <w:tc>
          <w:tcPr>
            <w:tcW w:w="995" w:type="dxa"/>
            <w:noWrap w:val="0"/>
            <w:vAlign w:val="center"/>
          </w:tcPr>
          <w:p w14:paraId="6C283F5D">
            <w:pPr>
              <w:spacing w:line="360" w:lineRule="auto"/>
              <w:jc w:val="center"/>
              <w:rPr>
                <w:rFonts w:hAnsi="宋体" w:cs="仿宋"/>
                <w:color w:val="auto"/>
                <w:sz w:val="21"/>
                <w:szCs w:val="21"/>
                <w:highlight w:val="none"/>
              </w:rPr>
            </w:pPr>
          </w:p>
        </w:tc>
      </w:tr>
      <w:tr w14:paraId="105D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742" w:type="dxa"/>
            <w:noWrap w:val="0"/>
            <w:vAlign w:val="center"/>
          </w:tcPr>
          <w:p w14:paraId="726A4CB0">
            <w:pPr>
              <w:spacing w:line="360" w:lineRule="auto"/>
              <w:jc w:val="center"/>
              <w:rPr>
                <w:rFonts w:hAnsi="宋体" w:cs="仿宋"/>
                <w:color w:val="auto"/>
                <w:sz w:val="21"/>
                <w:szCs w:val="21"/>
                <w:highlight w:val="none"/>
              </w:rPr>
            </w:pPr>
            <w:r>
              <w:rPr>
                <w:rFonts w:hAnsi="宋体" w:cs="仿宋"/>
                <w:color w:val="auto"/>
                <w:sz w:val="21"/>
                <w:szCs w:val="21"/>
                <w:highlight w:val="none"/>
              </w:rPr>
              <w:t>6</w:t>
            </w:r>
          </w:p>
        </w:tc>
        <w:tc>
          <w:tcPr>
            <w:tcW w:w="1216" w:type="dxa"/>
            <w:gridSpan w:val="2"/>
            <w:noWrap w:val="0"/>
            <w:vAlign w:val="center"/>
          </w:tcPr>
          <w:p w14:paraId="12309259">
            <w:pPr>
              <w:spacing w:line="360" w:lineRule="auto"/>
              <w:jc w:val="center"/>
              <w:rPr>
                <w:rFonts w:hAnsi="宋体" w:cs="仿宋"/>
                <w:color w:val="auto"/>
                <w:sz w:val="21"/>
                <w:szCs w:val="21"/>
                <w:highlight w:val="none"/>
              </w:rPr>
            </w:pPr>
          </w:p>
        </w:tc>
        <w:tc>
          <w:tcPr>
            <w:tcW w:w="1464" w:type="dxa"/>
            <w:gridSpan w:val="2"/>
            <w:noWrap w:val="0"/>
            <w:vAlign w:val="center"/>
          </w:tcPr>
          <w:p w14:paraId="76623B19">
            <w:pPr>
              <w:spacing w:line="360" w:lineRule="auto"/>
              <w:jc w:val="center"/>
              <w:rPr>
                <w:rFonts w:hAnsi="宋体" w:cs="仿宋"/>
                <w:color w:val="auto"/>
                <w:sz w:val="21"/>
                <w:szCs w:val="21"/>
                <w:highlight w:val="none"/>
              </w:rPr>
            </w:pPr>
          </w:p>
        </w:tc>
        <w:tc>
          <w:tcPr>
            <w:tcW w:w="1464" w:type="dxa"/>
            <w:gridSpan w:val="2"/>
            <w:noWrap w:val="0"/>
            <w:vAlign w:val="center"/>
          </w:tcPr>
          <w:p w14:paraId="64AA9B04">
            <w:pPr>
              <w:spacing w:line="360" w:lineRule="auto"/>
              <w:jc w:val="center"/>
              <w:rPr>
                <w:rFonts w:hAnsi="宋体" w:cs="仿宋"/>
                <w:color w:val="auto"/>
                <w:sz w:val="21"/>
                <w:szCs w:val="21"/>
                <w:highlight w:val="none"/>
              </w:rPr>
            </w:pPr>
          </w:p>
        </w:tc>
        <w:tc>
          <w:tcPr>
            <w:tcW w:w="857" w:type="dxa"/>
            <w:noWrap w:val="0"/>
            <w:vAlign w:val="center"/>
          </w:tcPr>
          <w:p w14:paraId="1696335B">
            <w:pPr>
              <w:spacing w:line="360" w:lineRule="auto"/>
              <w:jc w:val="center"/>
              <w:rPr>
                <w:rFonts w:hAnsi="宋体" w:cs="仿宋"/>
                <w:color w:val="auto"/>
                <w:sz w:val="21"/>
                <w:szCs w:val="21"/>
                <w:highlight w:val="none"/>
              </w:rPr>
            </w:pPr>
          </w:p>
        </w:tc>
        <w:tc>
          <w:tcPr>
            <w:tcW w:w="1687" w:type="dxa"/>
            <w:noWrap w:val="0"/>
            <w:vAlign w:val="center"/>
          </w:tcPr>
          <w:p w14:paraId="1562F12D">
            <w:pPr>
              <w:spacing w:line="360" w:lineRule="auto"/>
              <w:jc w:val="center"/>
              <w:rPr>
                <w:rFonts w:hAnsi="宋体" w:cs="仿宋"/>
                <w:color w:val="auto"/>
                <w:sz w:val="21"/>
                <w:szCs w:val="21"/>
                <w:highlight w:val="none"/>
              </w:rPr>
            </w:pPr>
          </w:p>
        </w:tc>
        <w:tc>
          <w:tcPr>
            <w:tcW w:w="1429" w:type="dxa"/>
            <w:noWrap w:val="0"/>
            <w:vAlign w:val="center"/>
          </w:tcPr>
          <w:p w14:paraId="103033A1">
            <w:pPr>
              <w:spacing w:line="360" w:lineRule="auto"/>
              <w:jc w:val="center"/>
              <w:rPr>
                <w:rFonts w:hAnsi="宋体" w:cs="仿宋"/>
                <w:color w:val="auto"/>
                <w:sz w:val="21"/>
                <w:szCs w:val="21"/>
                <w:highlight w:val="none"/>
              </w:rPr>
            </w:pPr>
          </w:p>
        </w:tc>
        <w:tc>
          <w:tcPr>
            <w:tcW w:w="995" w:type="dxa"/>
            <w:noWrap w:val="0"/>
            <w:vAlign w:val="center"/>
          </w:tcPr>
          <w:p w14:paraId="03B5DD21">
            <w:pPr>
              <w:spacing w:line="360" w:lineRule="auto"/>
              <w:jc w:val="center"/>
              <w:rPr>
                <w:rFonts w:hAnsi="宋体" w:cs="仿宋"/>
                <w:color w:val="auto"/>
                <w:sz w:val="21"/>
                <w:szCs w:val="21"/>
                <w:highlight w:val="none"/>
              </w:rPr>
            </w:pPr>
          </w:p>
        </w:tc>
      </w:tr>
      <w:tr w14:paraId="21C0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47" w:hRule="atLeast"/>
        </w:trPr>
        <w:tc>
          <w:tcPr>
            <w:tcW w:w="9854" w:type="dxa"/>
            <w:gridSpan w:val="11"/>
            <w:noWrap w:val="0"/>
            <w:vAlign w:val="center"/>
          </w:tcPr>
          <w:p w14:paraId="4274EA46">
            <w:pPr>
              <w:spacing w:line="360" w:lineRule="auto"/>
              <w:jc w:val="center"/>
              <w:rPr>
                <w:rFonts w:hAnsi="宋体" w:cs="仿宋"/>
                <w:color w:val="auto"/>
                <w:sz w:val="21"/>
                <w:szCs w:val="21"/>
                <w:highlight w:val="none"/>
              </w:rPr>
            </w:pPr>
          </w:p>
        </w:tc>
      </w:tr>
      <w:tr w14:paraId="136D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2563" w:type="dxa"/>
            <w:gridSpan w:val="4"/>
            <w:vMerge w:val="restart"/>
            <w:noWrap w:val="0"/>
            <w:vAlign w:val="center"/>
          </w:tcPr>
          <w:p w14:paraId="38EC204B">
            <w:pPr>
              <w:spacing w:line="360" w:lineRule="auto"/>
              <w:jc w:val="center"/>
              <w:rPr>
                <w:rFonts w:hAnsi="宋体" w:cs="仿宋"/>
                <w:color w:val="auto"/>
                <w:sz w:val="21"/>
                <w:szCs w:val="21"/>
                <w:highlight w:val="none"/>
              </w:rPr>
            </w:pPr>
            <w:r>
              <w:rPr>
                <w:rFonts w:hAnsi="宋体" w:cs="仿宋"/>
                <w:color w:val="auto"/>
                <w:sz w:val="21"/>
                <w:szCs w:val="21"/>
                <w:highlight w:val="none"/>
              </w:rPr>
              <w:t>甲方（需方）</w:t>
            </w:r>
          </w:p>
        </w:tc>
        <w:tc>
          <w:tcPr>
            <w:tcW w:w="1714" w:type="dxa"/>
            <w:gridSpan w:val="2"/>
            <w:noWrap w:val="0"/>
            <w:vAlign w:val="center"/>
          </w:tcPr>
          <w:p w14:paraId="03B9AB32">
            <w:pPr>
              <w:spacing w:line="360" w:lineRule="auto"/>
              <w:jc w:val="center"/>
              <w:rPr>
                <w:rFonts w:hAnsi="宋体" w:cs="仿宋"/>
                <w:color w:val="auto"/>
                <w:sz w:val="21"/>
                <w:szCs w:val="21"/>
                <w:highlight w:val="none"/>
              </w:rPr>
            </w:pPr>
            <w:r>
              <w:rPr>
                <w:rFonts w:hAnsi="宋体" w:cs="仿宋"/>
                <w:color w:val="auto"/>
                <w:sz w:val="21"/>
                <w:szCs w:val="21"/>
                <w:highlight w:val="none"/>
              </w:rPr>
              <w:t>签字（盖章）</w:t>
            </w:r>
          </w:p>
        </w:tc>
        <w:tc>
          <w:tcPr>
            <w:tcW w:w="5577" w:type="dxa"/>
            <w:gridSpan w:val="5"/>
            <w:noWrap w:val="0"/>
            <w:vAlign w:val="center"/>
          </w:tcPr>
          <w:p w14:paraId="41D5E24A">
            <w:pPr>
              <w:spacing w:line="360" w:lineRule="auto"/>
              <w:jc w:val="center"/>
              <w:rPr>
                <w:rFonts w:hAnsi="宋体" w:cs="仿宋"/>
                <w:color w:val="auto"/>
                <w:sz w:val="21"/>
                <w:szCs w:val="21"/>
                <w:highlight w:val="none"/>
              </w:rPr>
            </w:pPr>
          </w:p>
        </w:tc>
      </w:tr>
      <w:tr w14:paraId="21C5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2563" w:type="dxa"/>
            <w:gridSpan w:val="4"/>
            <w:vMerge w:val="continue"/>
            <w:noWrap w:val="0"/>
            <w:vAlign w:val="center"/>
          </w:tcPr>
          <w:p w14:paraId="03C7A343">
            <w:pPr>
              <w:widowControl/>
              <w:spacing w:line="360" w:lineRule="auto"/>
              <w:jc w:val="center"/>
              <w:rPr>
                <w:rFonts w:hAnsi="宋体" w:cs="仿宋"/>
                <w:color w:val="auto"/>
                <w:sz w:val="21"/>
                <w:szCs w:val="21"/>
                <w:highlight w:val="none"/>
              </w:rPr>
            </w:pPr>
          </w:p>
        </w:tc>
        <w:tc>
          <w:tcPr>
            <w:tcW w:w="1714" w:type="dxa"/>
            <w:gridSpan w:val="2"/>
            <w:noWrap w:val="0"/>
            <w:vAlign w:val="center"/>
          </w:tcPr>
          <w:p w14:paraId="729F1F82">
            <w:pPr>
              <w:spacing w:line="360" w:lineRule="auto"/>
              <w:jc w:val="center"/>
              <w:rPr>
                <w:rFonts w:hAnsi="宋体" w:cs="仿宋"/>
                <w:color w:val="auto"/>
                <w:sz w:val="21"/>
                <w:szCs w:val="21"/>
                <w:highlight w:val="none"/>
              </w:rPr>
            </w:pPr>
            <w:r>
              <w:rPr>
                <w:rFonts w:hAnsi="宋体" w:cs="仿宋"/>
                <w:color w:val="auto"/>
                <w:sz w:val="21"/>
                <w:szCs w:val="21"/>
                <w:highlight w:val="none"/>
              </w:rPr>
              <w:t>日期</w:t>
            </w:r>
          </w:p>
        </w:tc>
        <w:tc>
          <w:tcPr>
            <w:tcW w:w="5577" w:type="dxa"/>
            <w:gridSpan w:val="5"/>
            <w:noWrap w:val="0"/>
            <w:vAlign w:val="center"/>
          </w:tcPr>
          <w:p w14:paraId="649C74CC">
            <w:pPr>
              <w:spacing w:line="360" w:lineRule="auto"/>
              <w:jc w:val="center"/>
              <w:rPr>
                <w:rFonts w:hAnsi="宋体" w:cs="仿宋"/>
                <w:color w:val="auto"/>
                <w:sz w:val="21"/>
                <w:szCs w:val="21"/>
                <w:highlight w:val="none"/>
              </w:rPr>
            </w:pPr>
          </w:p>
        </w:tc>
      </w:tr>
      <w:tr w14:paraId="128B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2563" w:type="dxa"/>
            <w:gridSpan w:val="4"/>
            <w:vMerge w:val="restart"/>
            <w:noWrap w:val="0"/>
            <w:vAlign w:val="center"/>
          </w:tcPr>
          <w:p w14:paraId="225E4F16">
            <w:pPr>
              <w:spacing w:line="360" w:lineRule="auto"/>
              <w:jc w:val="center"/>
              <w:rPr>
                <w:rFonts w:hAnsi="宋体" w:cs="仿宋"/>
                <w:color w:val="auto"/>
                <w:sz w:val="21"/>
                <w:szCs w:val="21"/>
                <w:highlight w:val="none"/>
              </w:rPr>
            </w:pPr>
            <w:r>
              <w:rPr>
                <w:rFonts w:hAnsi="宋体" w:cs="仿宋"/>
                <w:color w:val="auto"/>
                <w:sz w:val="21"/>
                <w:szCs w:val="21"/>
                <w:highlight w:val="none"/>
              </w:rPr>
              <w:t>乙方（供方）</w:t>
            </w:r>
          </w:p>
        </w:tc>
        <w:tc>
          <w:tcPr>
            <w:tcW w:w="1714" w:type="dxa"/>
            <w:gridSpan w:val="2"/>
            <w:noWrap w:val="0"/>
            <w:vAlign w:val="center"/>
          </w:tcPr>
          <w:p w14:paraId="65C7FEE4">
            <w:pPr>
              <w:spacing w:line="360" w:lineRule="auto"/>
              <w:jc w:val="center"/>
              <w:rPr>
                <w:rFonts w:hAnsi="宋体" w:cs="仿宋"/>
                <w:color w:val="auto"/>
                <w:sz w:val="21"/>
                <w:szCs w:val="21"/>
                <w:highlight w:val="none"/>
              </w:rPr>
            </w:pPr>
            <w:r>
              <w:rPr>
                <w:rFonts w:hAnsi="宋体" w:cs="仿宋"/>
                <w:color w:val="auto"/>
                <w:sz w:val="21"/>
                <w:szCs w:val="21"/>
                <w:highlight w:val="none"/>
              </w:rPr>
              <w:t>签字（盖章）</w:t>
            </w:r>
          </w:p>
        </w:tc>
        <w:tc>
          <w:tcPr>
            <w:tcW w:w="5577" w:type="dxa"/>
            <w:gridSpan w:val="5"/>
            <w:noWrap w:val="0"/>
            <w:vAlign w:val="center"/>
          </w:tcPr>
          <w:p w14:paraId="76F9B068">
            <w:pPr>
              <w:spacing w:line="360" w:lineRule="auto"/>
              <w:jc w:val="center"/>
              <w:rPr>
                <w:rFonts w:hAnsi="宋体" w:cs="仿宋"/>
                <w:color w:val="auto"/>
                <w:sz w:val="21"/>
                <w:szCs w:val="21"/>
                <w:highlight w:val="none"/>
              </w:rPr>
            </w:pPr>
          </w:p>
        </w:tc>
      </w:tr>
      <w:tr w14:paraId="4EE2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2563" w:type="dxa"/>
            <w:gridSpan w:val="4"/>
            <w:vMerge w:val="continue"/>
            <w:noWrap w:val="0"/>
            <w:vAlign w:val="center"/>
          </w:tcPr>
          <w:p w14:paraId="528B3606">
            <w:pPr>
              <w:widowControl/>
              <w:spacing w:line="360" w:lineRule="auto"/>
              <w:jc w:val="center"/>
              <w:rPr>
                <w:rFonts w:hAnsi="宋体" w:cs="仿宋"/>
                <w:color w:val="auto"/>
                <w:sz w:val="21"/>
                <w:szCs w:val="21"/>
                <w:highlight w:val="none"/>
              </w:rPr>
            </w:pPr>
          </w:p>
        </w:tc>
        <w:tc>
          <w:tcPr>
            <w:tcW w:w="1714" w:type="dxa"/>
            <w:gridSpan w:val="2"/>
            <w:noWrap w:val="0"/>
            <w:vAlign w:val="center"/>
          </w:tcPr>
          <w:p w14:paraId="1CCEC9BD">
            <w:pPr>
              <w:spacing w:line="360" w:lineRule="auto"/>
              <w:jc w:val="center"/>
              <w:rPr>
                <w:rFonts w:hAnsi="宋体" w:cs="仿宋"/>
                <w:color w:val="auto"/>
                <w:sz w:val="21"/>
                <w:szCs w:val="21"/>
                <w:highlight w:val="none"/>
              </w:rPr>
            </w:pPr>
            <w:r>
              <w:rPr>
                <w:rFonts w:hAnsi="宋体" w:cs="仿宋"/>
                <w:color w:val="auto"/>
                <w:sz w:val="21"/>
                <w:szCs w:val="21"/>
                <w:highlight w:val="none"/>
              </w:rPr>
              <w:t>日期</w:t>
            </w:r>
          </w:p>
        </w:tc>
        <w:tc>
          <w:tcPr>
            <w:tcW w:w="5577" w:type="dxa"/>
            <w:gridSpan w:val="5"/>
            <w:noWrap w:val="0"/>
            <w:vAlign w:val="center"/>
          </w:tcPr>
          <w:p w14:paraId="454895ED">
            <w:pPr>
              <w:spacing w:line="360" w:lineRule="auto"/>
              <w:jc w:val="center"/>
              <w:rPr>
                <w:rFonts w:hAnsi="宋体" w:cs="仿宋"/>
                <w:color w:val="auto"/>
                <w:sz w:val="21"/>
                <w:szCs w:val="21"/>
                <w:highlight w:val="none"/>
              </w:rPr>
            </w:pPr>
          </w:p>
        </w:tc>
      </w:tr>
      <w:tr w14:paraId="20AF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9" w:hRule="atLeast"/>
        </w:trPr>
        <w:tc>
          <w:tcPr>
            <w:tcW w:w="1351" w:type="dxa"/>
            <w:gridSpan w:val="2"/>
            <w:noWrap w:val="0"/>
            <w:vAlign w:val="center"/>
          </w:tcPr>
          <w:p w14:paraId="5CD26FDC">
            <w:pPr>
              <w:spacing w:line="360" w:lineRule="auto"/>
              <w:jc w:val="center"/>
              <w:rPr>
                <w:rFonts w:hAnsi="宋体" w:cs="仿宋"/>
                <w:color w:val="auto"/>
                <w:sz w:val="21"/>
                <w:szCs w:val="21"/>
                <w:highlight w:val="none"/>
              </w:rPr>
            </w:pPr>
            <w:r>
              <w:rPr>
                <w:rFonts w:hAnsi="宋体" w:cs="仿宋"/>
                <w:color w:val="auto"/>
                <w:sz w:val="21"/>
                <w:szCs w:val="21"/>
                <w:highlight w:val="none"/>
              </w:rPr>
              <w:t>备</w:t>
            </w:r>
          </w:p>
          <w:p w14:paraId="2DCAF412">
            <w:pPr>
              <w:spacing w:line="360" w:lineRule="auto"/>
              <w:jc w:val="center"/>
              <w:rPr>
                <w:rFonts w:hAnsi="宋体" w:cs="仿宋"/>
                <w:color w:val="auto"/>
                <w:sz w:val="21"/>
                <w:szCs w:val="21"/>
                <w:highlight w:val="none"/>
              </w:rPr>
            </w:pPr>
            <w:r>
              <w:rPr>
                <w:rFonts w:hAnsi="宋体" w:cs="仿宋"/>
                <w:color w:val="auto"/>
                <w:sz w:val="21"/>
                <w:szCs w:val="21"/>
                <w:highlight w:val="none"/>
              </w:rPr>
              <w:t>注</w:t>
            </w:r>
          </w:p>
        </w:tc>
        <w:tc>
          <w:tcPr>
            <w:tcW w:w="8503" w:type="dxa"/>
            <w:gridSpan w:val="9"/>
            <w:noWrap w:val="0"/>
            <w:vAlign w:val="center"/>
          </w:tcPr>
          <w:p w14:paraId="34955751">
            <w:pPr>
              <w:spacing w:line="360" w:lineRule="auto"/>
              <w:rPr>
                <w:rFonts w:hAnsi="宋体" w:cs="仿宋"/>
                <w:color w:val="auto"/>
                <w:sz w:val="21"/>
                <w:szCs w:val="21"/>
                <w:highlight w:val="none"/>
              </w:rPr>
            </w:pPr>
            <w:r>
              <w:rPr>
                <w:rFonts w:hAnsi="宋体" w:cs="仿宋"/>
                <w:color w:val="auto"/>
                <w:sz w:val="21"/>
                <w:szCs w:val="21"/>
                <w:highlight w:val="none"/>
              </w:rPr>
              <w:t>注：补货时，须注明补货原因及补货日期。</w:t>
            </w:r>
          </w:p>
        </w:tc>
      </w:tr>
    </w:tbl>
    <w:p w14:paraId="486D6AC9">
      <w:pPr>
        <w:spacing w:line="360" w:lineRule="auto"/>
        <w:rPr>
          <w:rFonts w:hAnsi="宋体" w:cs="仿宋"/>
          <w:color w:val="auto"/>
          <w:sz w:val="21"/>
          <w:szCs w:val="21"/>
          <w:highlight w:val="none"/>
        </w:rPr>
      </w:pPr>
      <w:r>
        <w:rPr>
          <w:rFonts w:hAnsi="宋体" w:cs="仿宋"/>
          <w:color w:val="auto"/>
          <w:sz w:val="21"/>
          <w:szCs w:val="21"/>
          <w:highlight w:val="none"/>
        </w:rPr>
        <w:t>本清单一式两联，</w:t>
      </w:r>
      <w:r>
        <w:rPr>
          <w:rFonts w:hAnsi="宋体" w:cs="仿宋"/>
          <w:b/>
          <w:color w:val="auto"/>
          <w:sz w:val="21"/>
          <w:szCs w:val="21"/>
          <w:highlight w:val="none"/>
        </w:rPr>
        <w:t>甲方、乙方各存取一联;</w:t>
      </w:r>
      <w:r>
        <w:rPr>
          <w:rFonts w:hAnsi="宋体" w:cs="仿宋"/>
          <w:color w:val="auto"/>
          <w:sz w:val="21"/>
          <w:szCs w:val="21"/>
          <w:highlight w:val="none"/>
        </w:rPr>
        <w:t xml:space="preserve"> </w:t>
      </w:r>
    </w:p>
    <w:p w14:paraId="4F6987FC">
      <w:pPr>
        <w:spacing w:line="360" w:lineRule="auto"/>
        <w:rPr>
          <w:rFonts w:hAnsi="宋体" w:cs="仿宋"/>
          <w:color w:val="auto"/>
          <w:sz w:val="21"/>
          <w:szCs w:val="21"/>
          <w:highlight w:val="none"/>
        </w:rPr>
        <w:sectPr>
          <w:pgSz w:w="11906" w:h="16838"/>
          <w:pgMar w:top="1106" w:right="1134" w:bottom="1134" w:left="1134" w:header="567" w:footer="851" w:gutter="0"/>
          <w:pgNumType w:fmt="decimal"/>
          <w:cols w:space="720" w:num="1"/>
          <w:titlePg/>
          <w:docGrid w:linePitch="312" w:charSpace="0"/>
        </w:sectPr>
      </w:pPr>
      <w:r>
        <w:rPr>
          <w:rFonts w:hAnsi="宋体" w:cs="仿宋"/>
          <w:color w:val="auto"/>
          <w:sz w:val="21"/>
          <w:szCs w:val="21"/>
          <w:highlight w:val="none"/>
        </w:rPr>
        <w:t>填表须知：字迹要清晰，涂改无效。</w:t>
      </w:r>
    </w:p>
    <w:tbl>
      <w:tblPr>
        <w:tblStyle w:val="12"/>
        <w:tblW w:w="15655" w:type="dxa"/>
        <w:jc w:val="center"/>
        <w:tblLayout w:type="fixed"/>
        <w:tblCellMar>
          <w:top w:w="0" w:type="dxa"/>
          <w:left w:w="108" w:type="dxa"/>
          <w:bottom w:w="0" w:type="dxa"/>
          <w:right w:w="108" w:type="dxa"/>
        </w:tblCellMar>
      </w:tblPr>
      <w:tblGrid>
        <w:gridCol w:w="1543"/>
        <w:gridCol w:w="703"/>
        <w:gridCol w:w="969"/>
        <w:gridCol w:w="1110"/>
        <w:gridCol w:w="14"/>
        <w:gridCol w:w="1090"/>
        <w:gridCol w:w="14"/>
        <w:gridCol w:w="1042"/>
        <w:gridCol w:w="14"/>
        <w:gridCol w:w="1186"/>
        <w:gridCol w:w="14"/>
        <w:gridCol w:w="1150"/>
        <w:gridCol w:w="14"/>
        <w:gridCol w:w="1090"/>
        <w:gridCol w:w="14"/>
        <w:gridCol w:w="1150"/>
        <w:gridCol w:w="14"/>
        <w:gridCol w:w="1102"/>
        <w:gridCol w:w="14"/>
        <w:gridCol w:w="1198"/>
        <w:gridCol w:w="14"/>
        <w:gridCol w:w="1056"/>
        <w:gridCol w:w="14"/>
        <w:gridCol w:w="1112"/>
        <w:gridCol w:w="14"/>
      </w:tblGrid>
      <w:tr w14:paraId="76FC1B85">
        <w:tblPrEx>
          <w:tblCellMar>
            <w:top w:w="0" w:type="dxa"/>
            <w:left w:w="108" w:type="dxa"/>
            <w:bottom w:w="0" w:type="dxa"/>
            <w:right w:w="108" w:type="dxa"/>
          </w:tblCellMar>
        </w:tblPrEx>
        <w:trPr>
          <w:gridAfter w:val="1"/>
          <w:wAfter w:w="14" w:type="dxa"/>
          <w:trHeight w:val="300" w:hRule="atLeast"/>
          <w:jc w:val="center"/>
        </w:trPr>
        <w:tc>
          <w:tcPr>
            <w:tcW w:w="15641" w:type="dxa"/>
            <w:gridSpan w:val="24"/>
            <w:tcBorders>
              <w:top w:val="nil"/>
              <w:left w:val="nil"/>
              <w:bottom w:val="nil"/>
              <w:right w:val="nil"/>
            </w:tcBorders>
            <w:noWrap w:val="0"/>
            <w:vAlign w:val="center"/>
          </w:tcPr>
          <w:p w14:paraId="1B8E3ED4">
            <w:pPr>
              <w:widowControl/>
              <w:rPr>
                <w:rFonts w:hAnsi="宋体" w:cs="仿宋"/>
                <w:b/>
                <w:color w:val="auto"/>
                <w:sz w:val="21"/>
                <w:szCs w:val="21"/>
                <w:highlight w:val="none"/>
              </w:rPr>
            </w:pPr>
            <w:r>
              <w:rPr>
                <w:rFonts w:hAnsi="宋体" w:cs="仿宋"/>
                <w:b/>
                <w:color w:val="auto"/>
                <w:sz w:val="21"/>
                <w:szCs w:val="21"/>
                <w:highlight w:val="none"/>
              </w:rPr>
              <w:t>附件2                                                   物资采购月度结算单</w:t>
            </w:r>
          </w:p>
        </w:tc>
      </w:tr>
      <w:tr w14:paraId="641BC653">
        <w:tblPrEx>
          <w:tblCellMar>
            <w:top w:w="0" w:type="dxa"/>
            <w:left w:w="108" w:type="dxa"/>
            <w:bottom w:w="0" w:type="dxa"/>
            <w:right w:w="108" w:type="dxa"/>
          </w:tblCellMar>
        </w:tblPrEx>
        <w:trPr>
          <w:gridAfter w:val="1"/>
          <w:wAfter w:w="14" w:type="dxa"/>
          <w:trHeight w:val="465" w:hRule="atLeast"/>
          <w:jc w:val="center"/>
        </w:trPr>
        <w:tc>
          <w:tcPr>
            <w:tcW w:w="1543" w:type="dxa"/>
            <w:tcBorders>
              <w:top w:val="single" w:color="auto" w:sz="4" w:space="0"/>
              <w:left w:val="single" w:color="auto" w:sz="4" w:space="0"/>
              <w:bottom w:val="single" w:color="auto" w:sz="4" w:space="0"/>
              <w:right w:val="single" w:color="auto" w:sz="4" w:space="0"/>
            </w:tcBorders>
            <w:noWrap w:val="0"/>
            <w:vAlign w:val="center"/>
          </w:tcPr>
          <w:p w14:paraId="5AA631FA">
            <w:pPr>
              <w:widowControl/>
              <w:jc w:val="center"/>
              <w:rPr>
                <w:rFonts w:hAnsi="宋体" w:cs="仿宋"/>
                <w:color w:val="auto"/>
                <w:sz w:val="21"/>
                <w:szCs w:val="21"/>
                <w:highlight w:val="none"/>
              </w:rPr>
            </w:pPr>
            <w:r>
              <w:rPr>
                <w:rFonts w:hAnsi="宋体" w:cs="仿宋"/>
                <w:color w:val="auto"/>
                <w:sz w:val="21"/>
                <w:szCs w:val="21"/>
                <w:highlight w:val="none"/>
              </w:rPr>
              <w:t>项目名称</w:t>
            </w:r>
          </w:p>
        </w:tc>
        <w:tc>
          <w:tcPr>
            <w:tcW w:w="4942" w:type="dxa"/>
            <w:gridSpan w:val="7"/>
            <w:tcBorders>
              <w:top w:val="single" w:color="auto" w:sz="4" w:space="0"/>
              <w:left w:val="nil"/>
              <w:bottom w:val="single" w:color="auto" w:sz="4" w:space="0"/>
              <w:right w:val="single" w:color="000000" w:sz="4" w:space="0"/>
            </w:tcBorders>
            <w:noWrap w:val="0"/>
            <w:vAlign w:val="center"/>
          </w:tcPr>
          <w:p w14:paraId="6BAD5659">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single" w:color="auto" w:sz="4" w:space="0"/>
              <w:left w:val="nil"/>
              <w:bottom w:val="single" w:color="auto" w:sz="4" w:space="0"/>
              <w:right w:val="single" w:color="auto" w:sz="4" w:space="0"/>
            </w:tcBorders>
            <w:noWrap w:val="0"/>
            <w:vAlign w:val="center"/>
          </w:tcPr>
          <w:p w14:paraId="192B26CF">
            <w:pPr>
              <w:widowControl/>
              <w:jc w:val="center"/>
              <w:rPr>
                <w:rFonts w:hAnsi="宋体" w:cs="仿宋"/>
                <w:color w:val="auto"/>
                <w:sz w:val="21"/>
                <w:szCs w:val="21"/>
                <w:highlight w:val="none"/>
              </w:rPr>
            </w:pPr>
            <w:r>
              <w:rPr>
                <w:rFonts w:hAnsi="宋体" w:cs="仿宋"/>
                <w:color w:val="auto"/>
                <w:sz w:val="21"/>
                <w:szCs w:val="21"/>
                <w:highlight w:val="none"/>
              </w:rPr>
              <w:t>合同名称</w:t>
            </w:r>
          </w:p>
        </w:tc>
        <w:tc>
          <w:tcPr>
            <w:tcW w:w="4548" w:type="dxa"/>
            <w:gridSpan w:val="8"/>
            <w:tcBorders>
              <w:top w:val="single" w:color="auto" w:sz="4" w:space="0"/>
              <w:left w:val="nil"/>
              <w:bottom w:val="single" w:color="auto" w:sz="4" w:space="0"/>
              <w:right w:val="single" w:color="000000" w:sz="4" w:space="0"/>
            </w:tcBorders>
            <w:noWrap w:val="0"/>
            <w:vAlign w:val="center"/>
          </w:tcPr>
          <w:p w14:paraId="2957907E">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single" w:color="auto" w:sz="4" w:space="0"/>
              <w:left w:val="nil"/>
              <w:bottom w:val="single" w:color="auto" w:sz="4" w:space="0"/>
              <w:right w:val="single" w:color="auto" w:sz="4" w:space="0"/>
            </w:tcBorders>
            <w:noWrap w:val="0"/>
            <w:vAlign w:val="center"/>
          </w:tcPr>
          <w:p w14:paraId="183BD12E">
            <w:pPr>
              <w:widowControl/>
              <w:jc w:val="center"/>
              <w:rPr>
                <w:rFonts w:hAnsi="宋体" w:cs="仿宋"/>
                <w:color w:val="auto"/>
                <w:sz w:val="21"/>
                <w:szCs w:val="21"/>
                <w:highlight w:val="none"/>
              </w:rPr>
            </w:pPr>
            <w:r>
              <w:rPr>
                <w:rFonts w:hAnsi="宋体" w:cs="仿宋"/>
                <w:color w:val="auto"/>
                <w:sz w:val="21"/>
                <w:szCs w:val="21"/>
                <w:highlight w:val="none"/>
              </w:rPr>
              <w:t>计量期数</w:t>
            </w:r>
          </w:p>
        </w:tc>
        <w:tc>
          <w:tcPr>
            <w:tcW w:w="2196" w:type="dxa"/>
            <w:gridSpan w:val="4"/>
            <w:tcBorders>
              <w:top w:val="single" w:color="auto" w:sz="4" w:space="0"/>
              <w:left w:val="nil"/>
              <w:bottom w:val="single" w:color="auto" w:sz="4" w:space="0"/>
              <w:right w:val="single" w:color="000000" w:sz="4" w:space="0"/>
            </w:tcBorders>
            <w:noWrap w:val="0"/>
            <w:vAlign w:val="center"/>
          </w:tcPr>
          <w:p w14:paraId="4F6F6C68">
            <w:pPr>
              <w:widowControl/>
              <w:jc w:val="center"/>
              <w:rPr>
                <w:rFonts w:hAnsi="宋体" w:cs="仿宋"/>
                <w:color w:val="auto"/>
                <w:sz w:val="21"/>
                <w:szCs w:val="21"/>
                <w:highlight w:val="none"/>
              </w:rPr>
            </w:pPr>
            <w:r>
              <w:rPr>
                <w:rFonts w:hAnsi="宋体" w:cs="仿宋"/>
                <w:color w:val="auto"/>
                <w:sz w:val="21"/>
                <w:szCs w:val="21"/>
                <w:highlight w:val="none"/>
              </w:rPr>
              <w:t>第  期</w:t>
            </w:r>
          </w:p>
        </w:tc>
      </w:tr>
      <w:tr w14:paraId="014F88A4">
        <w:tblPrEx>
          <w:tblCellMar>
            <w:top w:w="0" w:type="dxa"/>
            <w:left w:w="108" w:type="dxa"/>
            <w:bottom w:w="0" w:type="dxa"/>
            <w:right w:w="108" w:type="dxa"/>
          </w:tblCellMar>
        </w:tblPrEx>
        <w:trPr>
          <w:gridAfter w:val="1"/>
          <w:wAfter w:w="14" w:type="dxa"/>
          <w:trHeight w:val="383" w:hRule="atLeast"/>
          <w:jc w:val="center"/>
        </w:trPr>
        <w:tc>
          <w:tcPr>
            <w:tcW w:w="1543" w:type="dxa"/>
            <w:tcBorders>
              <w:top w:val="nil"/>
              <w:left w:val="single" w:color="auto" w:sz="4" w:space="0"/>
              <w:bottom w:val="single" w:color="auto" w:sz="4" w:space="0"/>
              <w:right w:val="single" w:color="auto" w:sz="4" w:space="0"/>
            </w:tcBorders>
            <w:noWrap w:val="0"/>
            <w:vAlign w:val="center"/>
          </w:tcPr>
          <w:p w14:paraId="48586050">
            <w:pPr>
              <w:widowControl/>
              <w:jc w:val="center"/>
              <w:rPr>
                <w:rFonts w:hAnsi="宋体" w:cs="仿宋"/>
                <w:color w:val="auto"/>
                <w:sz w:val="21"/>
                <w:szCs w:val="21"/>
                <w:highlight w:val="none"/>
              </w:rPr>
            </w:pPr>
            <w:r>
              <w:rPr>
                <w:rFonts w:hAnsi="宋体" w:cs="仿宋"/>
                <w:color w:val="auto"/>
                <w:sz w:val="21"/>
                <w:szCs w:val="21"/>
                <w:highlight w:val="none"/>
              </w:rPr>
              <w:t>供应商名称</w:t>
            </w:r>
          </w:p>
        </w:tc>
        <w:tc>
          <w:tcPr>
            <w:tcW w:w="4942" w:type="dxa"/>
            <w:gridSpan w:val="7"/>
            <w:tcBorders>
              <w:top w:val="single" w:color="auto" w:sz="4" w:space="0"/>
              <w:left w:val="nil"/>
              <w:bottom w:val="single" w:color="auto" w:sz="4" w:space="0"/>
              <w:right w:val="single" w:color="000000" w:sz="4" w:space="0"/>
            </w:tcBorders>
            <w:noWrap w:val="0"/>
            <w:vAlign w:val="center"/>
          </w:tcPr>
          <w:p w14:paraId="5C3E1D42">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0765B15C">
            <w:pPr>
              <w:widowControl/>
              <w:jc w:val="center"/>
              <w:rPr>
                <w:rFonts w:hAnsi="宋体" w:cs="仿宋"/>
                <w:color w:val="auto"/>
                <w:sz w:val="21"/>
                <w:szCs w:val="21"/>
                <w:highlight w:val="none"/>
              </w:rPr>
            </w:pPr>
            <w:r>
              <w:rPr>
                <w:rFonts w:hAnsi="宋体" w:cs="仿宋"/>
                <w:color w:val="auto"/>
                <w:sz w:val="21"/>
                <w:szCs w:val="21"/>
                <w:highlight w:val="none"/>
              </w:rPr>
              <w:t>合同编号</w:t>
            </w:r>
          </w:p>
        </w:tc>
        <w:tc>
          <w:tcPr>
            <w:tcW w:w="4548" w:type="dxa"/>
            <w:gridSpan w:val="8"/>
            <w:tcBorders>
              <w:top w:val="single" w:color="auto" w:sz="4" w:space="0"/>
              <w:left w:val="nil"/>
              <w:bottom w:val="single" w:color="auto" w:sz="4" w:space="0"/>
              <w:right w:val="single" w:color="000000" w:sz="4" w:space="0"/>
            </w:tcBorders>
            <w:noWrap w:val="0"/>
            <w:vAlign w:val="center"/>
          </w:tcPr>
          <w:p w14:paraId="49246D60">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0"/>
            <w:vAlign w:val="center"/>
          </w:tcPr>
          <w:p w14:paraId="644825A5">
            <w:pPr>
              <w:widowControl/>
              <w:jc w:val="center"/>
              <w:rPr>
                <w:rFonts w:hAnsi="宋体" w:cs="仿宋"/>
                <w:color w:val="auto"/>
                <w:sz w:val="21"/>
                <w:szCs w:val="21"/>
                <w:highlight w:val="none"/>
              </w:rPr>
            </w:pPr>
            <w:r>
              <w:rPr>
                <w:rFonts w:hAnsi="宋体" w:cs="仿宋"/>
                <w:color w:val="auto"/>
                <w:sz w:val="21"/>
                <w:szCs w:val="21"/>
                <w:highlight w:val="none"/>
              </w:rPr>
              <w:t>合同签订</w:t>
            </w:r>
          </w:p>
          <w:p w14:paraId="3C9A1DEE">
            <w:pPr>
              <w:widowControl/>
              <w:jc w:val="center"/>
              <w:rPr>
                <w:rFonts w:hAnsi="宋体" w:cs="仿宋"/>
                <w:color w:val="auto"/>
                <w:sz w:val="21"/>
                <w:szCs w:val="21"/>
                <w:highlight w:val="none"/>
              </w:rPr>
            </w:pPr>
            <w:r>
              <w:rPr>
                <w:rFonts w:hAnsi="宋体" w:cs="仿宋"/>
                <w:color w:val="auto"/>
                <w:sz w:val="21"/>
                <w:szCs w:val="21"/>
                <w:highlight w:val="none"/>
              </w:rPr>
              <w:t>时间</w:t>
            </w:r>
          </w:p>
        </w:tc>
        <w:tc>
          <w:tcPr>
            <w:tcW w:w="2196" w:type="dxa"/>
            <w:gridSpan w:val="4"/>
            <w:tcBorders>
              <w:top w:val="single" w:color="auto" w:sz="4" w:space="0"/>
              <w:left w:val="nil"/>
              <w:bottom w:val="single" w:color="auto" w:sz="4" w:space="0"/>
              <w:right w:val="single" w:color="000000" w:sz="4" w:space="0"/>
            </w:tcBorders>
            <w:noWrap w:val="0"/>
            <w:vAlign w:val="center"/>
          </w:tcPr>
          <w:p w14:paraId="74A3B767">
            <w:pPr>
              <w:widowControl/>
              <w:jc w:val="center"/>
              <w:rPr>
                <w:rFonts w:hAnsi="宋体" w:cs="仿宋"/>
                <w:color w:val="auto"/>
                <w:sz w:val="21"/>
                <w:szCs w:val="21"/>
                <w:highlight w:val="none"/>
                <w:u w:val="single"/>
              </w:rPr>
            </w:pPr>
            <w:r>
              <w:rPr>
                <w:rFonts w:hAnsi="宋体" w:cs="仿宋"/>
                <w:color w:val="auto"/>
                <w:sz w:val="21"/>
                <w:szCs w:val="21"/>
                <w:highlight w:val="none"/>
              </w:rPr>
              <w:t>年 月 日</w:t>
            </w:r>
          </w:p>
        </w:tc>
      </w:tr>
      <w:tr w14:paraId="2A8E6A28">
        <w:tblPrEx>
          <w:tblCellMar>
            <w:top w:w="0" w:type="dxa"/>
            <w:left w:w="108" w:type="dxa"/>
            <w:bottom w:w="0" w:type="dxa"/>
            <w:right w:w="108" w:type="dxa"/>
          </w:tblCellMar>
        </w:tblPrEx>
        <w:trPr>
          <w:gridAfter w:val="1"/>
          <w:wAfter w:w="14" w:type="dxa"/>
          <w:trHeight w:val="390" w:hRule="atLeast"/>
          <w:jc w:val="center"/>
        </w:trPr>
        <w:tc>
          <w:tcPr>
            <w:tcW w:w="1543" w:type="dxa"/>
            <w:tcBorders>
              <w:top w:val="nil"/>
              <w:left w:val="single" w:color="auto" w:sz="4" w:space="0"/>
              <w:bottom w:val="single" w:color="auto" w:sz="4" w:space="0"/>
              <w:right w:val="single" w:color="auto" w:sz="4" w:space="0"/>
            </w:tcBorders>
            <w:noWrap w:val="0"/>
            <w:vAlign w:val="center"/>
          </w:tcPr>
          <w:p w14:paraId="3E062E96">
            <w:pPr>
              <w:widowControl/>
              <w:jc w:val="center"/>
              <w:rPr>
                <w:rFonts w:hAnsi="宋体" w:cs="仿宋"/>
                <w:color w:val="auto"/>
                <w:sz w:val="21"/>
                <w:szCs w:val="21"/>
                <w:highlight w:val="none"/>
              </w:rPr>
            </w:pPr>
            <w:r>
              <w:rPr>
                <w:rFonts w:hAnsi="宋体" w:cs="仿宋"/>
                <w:color w:val="auto"/>
                <w:sz w:val="21"/>
                <w:szCs w:val="21"/>
                <w:highlight w:val="none"/>
              </w:rPr>
              <w:t>计量周期</w:t>
            </w:r>
          </w:p>
        </w:tc>
        <w:tc>
          <w:tcPr>
            <w:tcW w:w="14098" w:type="dxa"/>
            <w:gridSpan w:val="23"/>
            <w:tcBorders>
              <w:top w:val="single" w:color="auto" w:sz="4" w:space="0"/>
              <w:left w:val="nil"/>
              <w:bottom w:val="single" w:color="auto" w:sz="4" w:space="0"/>
              <w:right w:val="single" w:color="000000" w:sz="4" w:space="0"/>
            </w:tcBorders>
            <w:noWrap w:val="0"/>
            <w:vAlign w:val="center"/>
          </w:tcPr>
          <w:p w14:paraId="26EFE063">
            <w:pPr>
              <w:widowControl/>
              <w:jc w:val="center"/>
              <w:rPr>
                <w:rFonts w:hAnsi="宋体" w:cs="仿宋"/>
                <w:color w:val="auto"/>
                <w:sz w:val="21"/>
                <w:szCs w:val="21"/>
                <w:highlight w:val="none"/>
              </w:rPr>
            </w:pPr>
            <w:r>
              <w:rPr>
                <w:rFonts w:hAnsi="宋体" w:cs="仿宋"/>
                <w:color w:val="auto"/>
                <w:sz w:val="21"/>
                <w:szCs w:val="21"/>
                <w:highlight w:val="none"/>
              </w:rPr>
              <w:t>从 年 月</w:t>
            </w:r>
            <w:r>
              <w:rPr>
                <w:rFonts w:hAnsi="宋体" w:cs="仿宋"/>
                <w:color w:val="auto"/>
                <w:sz w:val="21"/>
                <w:szCs w:val="21"/>
                <w:highlight w:val="none"/>
                <w:u w:val="single"/>
              </w:rPr>
              <w:t xml:space="preserve">   </w:t>
            </w:r>
            <w:r>
              <w:rPr>
                <w:rFonts w:hAnsi="宋体" w:cs="仿宋"/>
                <w:color w:val="auto"/>
                <w:sz w:val="21"/>
                <w:szCs w:val="21"/>
                <w:highlight w:val="none"/>
              </w:rPr>
              <w:t>日起至 年 月</w:t>
            </w:r>
            <w:r>
              <w:rPr>
                <w:rFonts w:hAnsi="宋体" w:cs="仿宋"/>
                <w:color w:val="auto"/>
                <w:sz w:val="21"/>
                <w:szCs w:val="21"/>
                <w:highlight w:val="none"/>
                <w:u w:val="single"/>
              </w:rPr>
              <w:t xml:space="preserve">   </w:t>
            </w:r>
            <w:r>
              <w:rPr>
                <w:rFonts w:hAnsi="宋体" w:cs="仿宋"/>
                <w:color w:val="auto"/>
                <w:sz w:val="21"/>
                <w:szCs w:val="21"/>
                <w:highlight w:val="none"/>
              </w:rPr>
              <w:t>日止</w:t>
            </w:r>
          </w:p>
        </w:tc>
      </w:tr>
      <w:tr w14:paraId="35E2D6F0">
        <w:tblPrEx>
          <w:tblCellMar>
            <w:top w:w="0" w:type="dxa"/>
            <w:left w:w="108" w:type="dxa"/>
            <w:bottom w:w="0" w:type="dxa"/>
            <w:right w:w="108" w:type="dxa"/>
          </w:tblCellMar>
        </w:tblPrEx>
        <w:trPr>
          <w:trHeight w:val="330" w:hRule="atLeast"/>
          <w:jc w:val="center"/>
        </w:trPr>
        <w:tc>
          <w:tcPr>
            <w:tcW w:w="1543" w:type="dxa"/>
            <w:vMerge w:val="restart"/>
            <w:tcBorders>
              <w:top w:val="nil"/>
              <w:left w:val="single" w:color="auto" w:sz="4" w:space="0"/>
              <w:bottom w:val="single" w:color="auto" w:sz="4" w:space="0"/>
              <w:right w:val="single" w:color="auto" w:sz="4" w:space="0"/>
            </w:tcBorders>
            <w:noWrap w:val="0"/>
            <w:vAlign w:val="center"/>
          </w:tcPr>
          <w:p w14:paraId="5165754A">
            <w:pPr>
              <w:widowControl/>
              <w:jc w:val="center"/>
              <w:rPr>
                <w:rFonts w:hAnsi="宋体" w:cs="仿宋"/>
                <w:color w:val="auto"/>
                <w:sz w:val="21"/>
                <w:szCs w:val="21"/>
                <w:highlight w:val="none"/>
              </w:rPr>
            </w:pPr>
            <w:r>
              <w:rPr>
                <w:rFonts w:hAnsi="宋体" w:cs="仿宋"/>
                <w:color w:val="auto"/>
                <w:sz w:val="21"/>
                <w:szCs w:val="21"/>
                <w:highlight w:val="none"/>
              </w:rPr>
              <w:t>类型</w:t>
            </w:r>
          </w:p>
        </w:tc>
        <w:tc>
          <w:tcPr>
            <w:tcW w:w="703" w:type="dxa"/>
            <w:vMerge w:val="restart"/>
            <w:tcBorders>
              <w:top w:val="nil"/>
              <w:left w:val="single" w:color="auto" w:sz="4" w:space="0"/>
              <w:bottom w:val="single" w:color="000000" w:sz="4" w:space="0"/>
              <w:right w:val="single" w:color="auto" w:sz="4" w:space="0"/>
            </w:tcBorders>
            <w:noWrap w:val="0"/>
            <w:vAlign w:val="center"/>
          </w:tcPr>
          <w:p w14:paraId="4FD1AA3D">
            <w:pPr>
              <w:widowControl/>
              <w:jc w:val="center"/>
              <w:rPr>
                <w:rFonts w:hAnsi="宋体" w:cs="仿宋"/>
                <w:color w:val="auto"/>
                <w:sz w:val="21"/>
                <w:szCs w:val="21"/>
                <w:highlight w:val="none"/>
              </w:rPr>
            </w:pPr>
            <w:r>
              <w:rPr>
                <w:rFonts w:hAnsi="宋体" w:cs="仿宋"/>
                <w:color w:val="auto"/>
                <w:sz w:val="21"/>
                <w:szCs w:val="21"/>
                <w:highlight w:val="none"/>
              </w:rPr>
              <w:t>序号</w:t>
            </w:r>
          </w:p>
        </w:tc>
        <w:tc>
          <w:tcPr>
            <w:tcW w:w="969" w:type="dxa"/>
            <w:vMerge w:val="restart"/>
            <w:tcBorders>
              <w:top w:val="nil"/>
              <w:left w:val="single" w:color="auto" w:sz="4" w:space="0"/>
              <w:bottom w:val="single" w:color="auto" w:sz="4" w:space="0"/>
              <w:right w:val="single" w:color="auto" w:sz="4" w:space="0"/>
            </w:tcBorders>
            <w:noWrap w:val="0"/>
            <w:vAlign w:val="center"/>
          </w:tcPr>
          <w:p w14:paraId="54A5B04B">
            <w:pPr>
              <w:widowControl/>
              <w:jc w:val="center"/>
              <w:rPr>
                <w:rFonts w:hAnsi="宋体" w:cs="仿宋"/>
                <w:color w:val="auto"/>
                <w:sz w:val="21"/>
                <w:szCs w:val="21"/>
                <w:highlight w:val="none"/>
              </w:rPr>
            </w:pPr>
            <w:r>
              <w:rPr>
                <w:rFonts w:hAnsi="宋体" w:cs="仿宋"/>
                <w:color w:val="auto"/>
                <w:sz w:val="21"/>
                <w:szCs w:val="21"/>
                <w:highlight w:val="none"/>
              </w:rPr>
              <w:t>材料名称</w:t>
            </w:r>
          </w:p>
        </w:tc>
        <w:tc>
          <w:tcPr>
            <w:tcW w:w="1124" w:type="dxa"/>
            <w:gridSpan w:val="2"/>
            <w:vMerge w:val="restart"/>
            <w:tcBorders>
              <w:top w:val="nil"/>
              <w:left w:val="single" w:color="auto" w:sz="4" w:space="0"/>
              <w:bottom w:val="single" w:color="auto" w:sz="4" w:space="0"/>
              <w:right w:val="single" w:color="auto" w:sz="4" w:space="0"/>
            </w:tcBorders>
            <w:noWrap w:val="0"/>
            <w:vAlign w:val="center"/>
          </w:tcPr>
          <w:p w14:paraId="515745B6">
            <w:pPr>
              <w:widowControl/>
              <w:jc w:val="center"/>
              <w:rPr>
                <w:rFonts w:hAnsi="宋体" w:cs="仿宋"/>
                <w:color w:val="auto"/>
                <w:sz w:val="21"/>
                <w:szCs w:val="21"/>
                <w:highlight w:val="none"/>
              </w:rPr>
            </w:pPr>
            <w:r>
              <w:rPr>
                <w:rFonts w:hAnsi="宋体" w:cs="仿宋"/>
                <w:color w:val="auto"/>
                <w:sz w:val="21"/>
                <w:szCs w:val="21"/>
                <w:highlight w:val="none"/>
              </w:rPr>
              <w:t>规格或型号</w:t>
            </w:r>
          </w:p>
        </w:tc>
        <w:tc>
          <w:tcPr>
            <w:tcW w:w="1104" w:type="dxa"/>
            <w:gridSpan w:val="2"/>
            <w:vMerge w:val="restart"/>
            <w:tcBorders>
              <w:top w:val="nil"/>
              <w:left w:val="single" w:color="auto" w:sz="4" w:space="0"/>
              <w:bottom w:val="single" w:color="auto" w:sz="4" w:space="0"/>
              <w:right w:val="single" w:color="auto" w:sz="4" w:space="0"/>
            </w:tcBorders>
            <w:noWrap w:val="0"/>
            <w:vAlign w:val="center"/>
          </w:tcPr>
          <w:p w14:paraId="48E17FA4">
            <w:pPr>
              <w:widowControl/>
              <w:jc w:val="center"/>
              <w:rPr>
                <w:rFonts w:hAnsi="宋体" w:cs="仿宋"/>
                <w:color w:val="auto"/>
                <w:sz w:val="21"/>
                <w:szCs w:val="21"/>
                <w:highlight w:val="none"/>
              </w:rPr>
            </w:pPr>
            <w:r>
              <w:rPr>
                <w:rFonts w:hAnsi="宋体" w:cs="仿宋"/>
                <w:color w:val="auto"/>
                <w:sz w:val="21"/>
                <w:szCs w:val="21"/>
                <w:highlight w:val="none"/>
              </w:rPr>
              <w:t>计量</w:t>
            </w:r>
          </w:p>
          <w:p w14:paraId="33E94ACA">
            <w:pPr>
              <w:widowControl/>
              <w:jc w:val="center"/>
              <w:rPr>
                <w:rFonts w:hAnsi="宋体" w:cs="仿宋"/>
                <w:color w:val="auto"/>
                <w:sz w:val="21"/>
                <w:szCs w:val="21"/>
                <w:highlight w:val="none"/>
              </w:rPr>
            </w:pPr>
            <w:r>
              <w:rPr>
                <w:rFonts w:hAnsi="宋体" w:cs="仿宋"/>
                <w:color w:val="auto"/>
                <w:sz w:val="21"/>
                <w:szCs w:val="21"/>
                <w:highlight w:val="none"/>
              </w:rPr>
              <w:t>单位</w:t>
            </w:r>
          </w:p>
        </w:tc>
        <w:tc>
          <w:tcPr>
            <w:tcW w:w="3420" w:type="dxa"/>
            <w:gridSpan w:val="6"/>
            <w:tcBorders>
              <w:top w:val="single" w:color="auto" w:sz="4" w:space="0"/>
              <w:left w:val="nil"/>
              <w:bottom w:val="single" w:color="auto" w:sz="4" w:space="0"/>
              <w:right w:val="single" w:color="auto" w:sz="4" w:space="0"/>
            </w:tcBorders>
            <w:noWrap w:val="0"/>
            <w:vAlign w:val="center"/>
          </w:tcPr>
          <w:p w14:paraId="59DE9A3D">
            <w:pPr>
              <w:widowControl/>
              <w:jc w:val="center"/>
              <w:rPr>
                <w:rFonts w:hAnsi="宋体" w:cs="仿宋"/>
                <w:b/>
                <w:bCs/>
                <w:color w:val="auto"/>
                <w:sz w:val="21"/>
                <w:szCs w:val="21"/>
                <w:highlight w:val="none"/>
              </w:rPr>
            </w:pPr>
            <w:r>
              <w:rPr>
                <w:rFonts w:hAnsi="宋体" w:cs="仿宋"/>
                <w:b/>
                <w:bCs/>
                <w:color w:val="auto"/>
                <w:sz w:val="21"/>
                <w:szCs w:val="21"/>
                <w:highlight w:val="none"/>
              </w:rPr>
              <w:t>合同上限</w:t>
            </w:r>
          </w:p>
        </w:tc>
        <w:tc>
          <w:tcPr>
            <w:tcW w:w="3384" w:type="dxa"/>
            <w:gridSpan w:val="6"/>
            <w:tcBorders>
              <w:top w:val="single" w:color="auto" w:sz="4" w:space="0"/>
              <w:left w:val="nil"/>
              <w:bottom w:val="single" w:color="auto" w:sz="4" w:space="0"/>
              <w:right w:val="single" w:color="auto" w:sz="4" w:space="0"/>
            </w:tcBorders>
            <w:noWrap/>
            <w:vAlign w:val="center"/>
          </w:tcPr>
          <w:p w14:paraId="63C3B8CE">
            <w:pPr>
              <w:widowControl/>
              <w:jc w:val="center"/>
              <w:rPr>
                <w:rFonts w:hAnsi="宋体" w:cs="仿宋"/>
                <w:b/>
                <w:bCs/>
                <w:color w:val="auto"/>
                <w:sz w:val="21"/>
                <w:szCs w:val="21"/>
                <w:highlight w:val="none"/>
              </w:rPr>
            </w:pPr>
            <w:r>
              <w:rPr>
                <w:rFonts w:hAnsi="宋体" w:cs="仿宋"/>
                <w:b/>
                <w:bCs/>
                <w:color w:val="auto"/>
                <w:sz w:val="21"/>
                <w:szCs w:val="21"/>
                <w:highlight w:val="none"/>
              </w:rPr>
              <w:t>本期采购</w:t>
            </w:r>
          </w:p>
        </w:tc>
        <w:tc>
          <w:tcPr>
            <w:tcW w:w="3408" w:type="dxa"/>
            <w:gridSpan w:val="6"/>
            <w:tcBorders>
              <w:top w:val="single" w:color="auto" w:sz="4" w:space="0"/>
              <w:left w:val="nil"/>
              <w:bottom w:val="single" w:color="auto" w:sz="4" w:space="0"/>
              <w:right w:val="single" w:color="auto" w:sz="4" w:space="0"/>
            </w:tcBorders>
            <w:noWrap/>
            <w:vAlign w:val="center"/>
          </w:tcPr>
          <w:p w14:paraId="0FFF6492">
            <w:pPr>
              <w:widowControl/>
              <w:jc w:val="center"/>
              <w:rPr>
                <w:rFonts w:hAnsi="宋体" w:cs="仿宋"/>
                <w:b/>
                <w:bCs/>
                <w:color w:val="auto"/>
                <w:sz w:val="21"/>
                <w:szCs w:val="21"/>
                <w:highlight w:val="none"/>
              </w:rPr>
            </w:pPr>
            <w:r>
              <w:rPr>
                <w:rFonts w:hAnsi="宋体" w:cs="仿宋"/>
                <w:b/>
                <w:bCs/>
                <w:color w:val="auto"/>
                <w:sz w:val="21"/>
                <w:szCs w:val="21"/>
                <w:highlight w:val="none"/>
              </w:rPr>
              <w:t>累计采购</w:t>
            </w:r>
          </w:p>
        </w:tc>
      </w:tr>
      <w:tr w14:paraId="0209326C">
        <w:tblPrEx>
          <w:tblCellMar>
            <w:top w:w="0" w:type="dxa"/>
            <w:left w:w="108" w:type="dxa"/>
            <w:bottom w:w="0" w:type="dxa"/>
            <w:right w:w="108" w:type="dxa"/>
          </w:tblCellMar>
        </w:tblPrEx>
        <w:trPr>
          <w:trHeight w:val="330" w:hRule="atLeast"/>
          <w:jc w:val="center"/>
        </w:trPr>
        <w:tc>
          <w:tcPr>
            <w:tcW w:w="1543" w:type="dxa"/>
            <w:vMerge w:val="continue"/>
            <w:tcBorders>
              <w:top w:val="nil"/>
              <w:left w:val="single" w:color="auto" w:sz="4" w:space="0"/>
              <w:bottom w:val="single" w:color="auto" w:sz="4" w:space="0"/>
              <w:right w:val="single" w:color="auto" w:sz="4" w:space="0"/>
            </w:tcBorders>
            <w:noWrap w:val="0"/>
            <w:vAlign w:val="center"/>
          </w:tcPr>
          <w:p w14:paraId="48D7103F">
            <w:pPr>
              <w:widowControl/>
              <w:jc w:val="left"/>
              <w:rPr>
                <w:rFonts w:hAnsi="宋体" w:cs="仿宋"/>
                <w:color w:val="auto"/>
                <w:sz w:val="21"/>
                <w:szCs w:val="21"/>
                <w:highlight w:val="none"/>
              </w:rPr>
            </w:pPr>
          </w:p>
        </w:tc>
        <w:tc>
          <w:tcPr>
            <w:tcW w:w="703" w:type="dxa"/>
            <w:vMerge w:val="continue"/>
            <w:tcBorders>
              <w:top w:val="nil"/>
              <w:left w:val="single" w:color="auto" w:sz="4" w:space="0"/>
              <w:bottom w:val="single" w:color="000000" w:sz="4" w:space="0"/>
              <w:right w:val="single" w:color="auto" w:sz="4" w:space="0"/>
            </w:tcBorders>
            <w:noWrap w:val="0"/>
            <w:vAlign w:val="center"/>
          </w:tcPr>
          <w:p w14:paraId="581ED299">
            <w:pPr>
              <w:widowControl/>
              <w:jc w:val="left"/>
              <w:rPr>
                <w:rFonts w:hAnsi="宋体" w:cs="仿宋"/>
                <w:color w:val="auto"/>
                <w:sz w:val="21"/>
                <w:szCs w:val="21"/>
                <w:highlight w:val="none"/>
              </w:rPr>
            </w:pPr>
          </w:p>
        </w:tc>
        <w:tc>
          <w:tcPr>
            <w:tcW w:w="969" w:type="dxa"/>
            <w:vMerge w:val="continue"/>
            <w:tcBorders>
              <w:top w:val="nil"/>
              <w:left w:val="single" w:color="auto" w:sz="4" w:space="0"/>
              <w:bottom w:val="single" w:color="auto" w:sz="4" w:space="0"/>
              <w:right w:val="single" w:color="auto" w:sz="4" w:space="0"/>
            </w:tcBorders>
            <w:noWrap w:val="0"/>
            <w:vAlign w:val="center"/>
          </w:tcPr>
          <w:p w14:paraId="1250C856">
            <w:pPr>
              <w:widowControl/>
              <w:jc w:val="left"/>
              <w:rPr>
                <w:rFonts w:hAnsi="宋体" w:cs="仿宋"/>
                <w:color w:val="auto"/>
                <w:sz w:val="21"/>
                <w:szCs w:val="21"/>
                <w:highlight w:val="none"/>
              </w:rPr>
            </w:pPr>
          </w:p>
        </w:tc>
        <w:tc>
          <w:tcPr>
            <w:tcW w:w="1124" w:type="dxa"/>
            <w:gridSpan w:val="2"/>
            <w:vMerge w:val="continue"/>
            <w:tcBorders>
              <w:top w:val="nil"/>
              <w:left w:val="single" w:color="auto" w:sz="4" w:space="0"/>
              <w:bottom w:val="single" w:color="auto" w:sz="4" w:space="0"/>
              <w:right w:val="single" w:color="auto" w:sz="4" w:space="0"/>
            </w:tcBorders>
            <w:noWrap w:val="0"/>
            <w:vAlign w:val="center"/>
          </w:tcPr>
          <w:p w14:paraId="0A045678">
            <w:pPr>
              <w:widowControl/>
              <w:jc w:val="left"/>
              <w:rPr>
                <w:rFonts w:hAnsi="宋体" w:cs="仿宋"/>
                <w:color w:val="auto"/>
                <w:sz w:val="21"/>
                <w:szCs w:val="21"/>
                <w:highlight w:val="none"/>
              </w:rPr>
            </w:pPr>
          </w:p>
        </w:tc>
        <w:tc>
          <w:tcPr>
            <w:tcW w:w="1104" w:type="dxa"/>
            <w:gridSpan w:val="2"/>
            <w:vMerge w:val="continue"/>
            <w:tcBorders>
              <w:top w:val="nil"/>
              <w:left w:val="single" w:color="auto" w:sz="4" w:space="0"/>
              <w:bottom w:val="single" w:color="auto" w:sz="4" w:space="0"/>
              <w:right w:val="single" w:color="auto" w:sz="4" w:space="0"/>
            </w:tcBorders>
            <w:noWrap w:val="0"/>
            <w:vAlign w:val="center"/>
          </w:tcPr>
          <w:p w14:paraId="17206413">
            <w:pPr>
              <w:widowControl/>
              <w:jc w:val="left"/>
              <w:rPr>
                <w:rFonts w:hAnsi="宋体" w:cs="仿宋"/>
                <w:color w:val="auto"/>
                <w:sz w:val="21"/>
                <w:szCs w:val="21"/>
                <w:highlight w:val="none"/>
              </w:rPr>
            </w:pPr>
          </w:p>
        </w:tc>
        <w:tc>
          <w:tcPr>
            <w:tcW w:w="1056" w:type="dxa"/>
            <w:gridSpan w:val="2"/>
            <w:tcBorders>
              <w:top w:val="nil"/>
              <w:left w:val="nil"/>
              <w:bottom w:val="single" w:color="auto" w:sz="4" w:space="0"/>
              <w:right w:val="single" w:color="auto" w:sz="4" w:space="0"/>
            </w:tcBorders>
            <w:noWrap w:val="0"/>
            <w:vAlign w:val="center"/>
          </w:tcPr>
          <w:p w14:paraId="6A3A07C2">
            <w:pPr>
              <w:widowControl/>
              <w:jc w:val="center"/>
              <w:rPr>
                <w:rFonts w:hAnsi="宋体" w:cs="仿宋"/>
                <w:color w:val="auto"/>
                <w:sz w:val="21"/>
                <w:szCs w:val="21"/>
                <w:highlight w:val="none"/>
              </w:rPr>
            </w:pPr>
            <w:r>
              <w:rPr>
                <w:rFonts w:hAnsi="宋体" w:cs="仿宋"/>
                <w:color w:val="auto"/>
                <w:sz w:val="21"/>
                <w:szCs w:val="21"/>
                <w:highlight w:val="none"/>
              </w:rPr>
              <w:t>合同数量</w:t>
            </w:r>
          </w:p>
        </w:tc>
        <w:tc>
          <w:tcPr>
            <w:tcW w:w="1200" w:type="dxa"/>
            <w:gridSpan w:val="2"/>
            <w:tcBorders>
              <w:top w:val="nil"/>
              <w:left w:val="nil"/>
              <w:bottom w:val="single" w:color="auto" w:sz="4" w:space="0"/>
              <w:right w:val="single" w:color="auto" w:sz="4" w:space="0"/>
            </w:tcBorders>
            <w:noWrap w:val="0"/>
            <w:vAlign w:val="center"/>
          </w:tcPr>
          <w:p w14:paraId="2BA84277">
            <w:pPr>
              <w:widowControl/>
              <w:jc w:val="center"/>
              <w:rPr>
                <w:rFonts w:hAnsi="宋体" w:cs="仿宋"/>
                <w:color w:val="auto"/>
                <w:sz w:val="21"/>
                <w:szCs w:val="21"/>
                <w:highlight w:val="none"/>
              </w:rPr>
            </w:pPr>
            <w:r>
              <w:rPr>
                <w:rFonts w:hAnsi="宋体" w:cs="仿宋"/>
                <w:color w:val="auto"/>
                <w:sz w:val="21"/>
                <w:szCs w:val="21"/>
                <w:highlight w:val="none"/>
              </w:rPr>
              <w:t>单价(元)</w:t>
            </w:r>
          </w:p>
        </w:tc>
        <w:tc>
          <w:tcPr>
            <w:tcW w:w="1164" w:type="dxa"/>
            <w:gridSpan w:val="2"/>
            <w:tcBorders>
              <w:top w:val="nil"/>
              <w:left w:val="nil"/>
              <w:bottom w:val="single" w:color="auto" w:sz="4" w:space="0"/>
              <w:right w:val="single" w:color="auto" w:sz="4" w:space="0"/>
            </w:tcBorders>
            <w:noWrap w:val="0"/>
            <w:vAlign w:val="center"/>
          </w:tcPr>
          <w:p w14:paraId="390AC761">
            <w:pPr>
              <w:widowControl/>
              <w:jc w:val="center"/>
              <w:rPr>
                <w:rFonts w:hAnsi="宋体" w:cs="仿宋"/>
                <w:color w:val="auto"/>
                <w:sz w:val="21"/>
                <w:szCs w:val="21"/>
                <w:highlight w:val="none"/>
              </w:rPr>
            </w:pPr>
            <w:r>
              <w:rPr>
                <w:rFonts w:hAnsi="宋体" w:cs="仿宋"/>
                <w:color w:val="auto"/>
                <w:sz w:val="21"/>
                <w:szCs w:val="21"/>
                <w:highlight w:val="none"/>
              </w:rPr>
              <w:t>金额(元)</w:t>
            </w:r>
          </w:p>
        </w:tc>
        <w:tc>
          <w:tcPr>
            <w:tcW w:w="1104" w:type="dxa"/>
            <w:gridSpan w:val="2"/>
            <w:tcBorders>
              <w:top w:val="nil"/>
              <w:left w:val="nil"/>
              <w:bottom w:val="single" w:color="auto" w:sz="4" w:space="0"/>
              <w:right w:val="single" w:color="auto" w:sz="4" w:space="0"/>
            </w:tcBorders>
            <w:noWrap w:val="0"/>
            <w:vAlign w:val="center"/>
          </w:tcPr>
          <w:p w14:paraId="214314B6">
            <w:pPr>
              <w:widowControl/>
              <w:jc w:val="center"/>
              <w:rPr>
                <w:rFonts w:hAnsi="宋体" w:cs="仿宋"/>
                <w:color w:val="auto"/>
                <w:sz w:val="21"/>
                <w:szCs w:val="21"/>
                <w:highlight w:val="none"/>
              </w:rPr>
            </w:pPr>
            <w:r>
              <w:rPr>
                <w:rFonts w:hAnsi="宋体" w:cs="仿宋"/>
                <w:color w:val="auto"/>
                <w:sz w:val="21"/>
                <w:szCs w:val="21"/>
                <w:highlight w:val="none"/>
              </w:rPr>
              <w:t>数量</w:t>
            </w:r>
          </w:p>
        </w:tc>
        <w:tc>
          <w:tcPr>
            <w:tcW w:w="1164" w:type="dxa"/>
            <w:gridSpan w:val="2"/>
            <w:tcBorders>
              <w:top w:val="nil"/>
              <w:left w:val="nil"/>
              <w:bottom w:val="single" w:color="auto" w:sz="4" w:space="0"/>
              <w:right w:val="single" w:color="auto" w:sz="4" w:space="0"/>
            </w:tcBorders>
            <w:noWrap w:val="0"/>
            <w:vAlign w:val="center"/>
          </w:tcPr>
          <w:p w14:paraId="04FC495F">
            <w:pPr>
              <w:widowControl/>
              <w:jc w:val="center"/>
              <w:rPr>
                <w:rFonts w:hAnsi="宋体" w:cs="仿宋"/>
                <w:color w:val="auto"/>
                <w:sz w:val="21"/>
                <w:szCs w:val="21"/>
                <w:highlight w:val="none"/>
              </w:rPr>
            </w:pPr>
            <w:r>
              <w:rPr>
                <w:rFonts w:hAnsi="宋体" w:cs="仿宋"/>
                <w:color w:val="auto"/>
                <w:sz w:val="21"/>
                <w:szCs w:val="21"/>
                <w:highlight w:val="none"/>
              </w:rPr>
              <w:t>单价(元)</w:t>
            </w:r>
          </w:p>
        </w:tc>
        <w:tc>
          <w:tcPr>
            <w:tcW w:w="1116" w:type="dxa"/>
            <w:gridSpan w:val="2"/>
            <w:tcBorders>
              <w:top w:val="nil"/>
              <w:left w:val="nil"/>
              <w:bottom w:val="single" w:color="auto" w:sz="4" w:space="0"/>
              <w:right w:val="single" w:color="auto" w:sz="4" w:space="0"/>
            </w:tcBorders>
            <w:noWrap w:val="0"/>
            <w:vAlign w:val="center"/>
          </w:tcPr>
          <w:p w14:paraId="13897EC9">
            <w:pPr>
              <w:widowControl/>
              <w:jc w:val="center"/>
              <w:rPr>
                <w:rFonts w:hAnsi="宋体" w:cs="仿宋"/>
                <w:color w:val="auto"/>
                <w:sz w:val="21"/>
                <w:szCs w:val="21"/>
                <w:highlight w:val="none"/>
              </w:rPr>
            </w:pPr>
            <w:r>
              <w:rPr>
                <w:rFonts w:hAnsi="宋体" w:cs="仿宋"/>
                <w:color w:val="auto"/>
                <w:sz w:val="21"/>
                <w:szCs w:val="21"/>
                <w:highlight w:val="none"/>
              </w:rPr>
              <w:t>金额(元)</w:t>
            </w:r>
          </w:p>
        </w:tc>
        <w:tc>
          <w:tcPr>
            <w:tcW w:w="1212" w:type="dxa"/>
            <w:gridSpan w:val="2"/>
            <w:tcBorders>
              <w:top w:val="nil"/>
              <w:left w:val="nil"/>
              <w:bottom w:val="single" w:color="auto" w:sz="4" w:space="0"/>
              <w:right w:val="single" w:color="auto" w:sz="4" w:space="0"/>
            </w:tcBorders>
            <w:noWrap w:val="0"/>
            <w:vAlign w:val="center"/>
          </w:tcPr>
          <w:p w14:paraId="211AA7A3">
            <w:pPr>
              <w:widowControl/>
              <w:jc w:val="center"/>
              <w:rPr>
                <w:rFonts w:hAnsi="宋体" w:cs="仿宋"/>
                <w:color w:val="auto"/>
                <w:sz w:val="21"/>
                <w:szCs w:val="21"/>
                <w:highlight w:val="none"/>
              </w:rPr>
            </w:pPr>
            <w:r>
              <w:rPr>
                <w:rFonts w:hAnsi="宋体" w:cs="仿宋"/>
                <w:color w:val="auto"/>
                <w:sz w:val="21"/>
                <w:szCs w:val="21"/>
                <w:highlight w:val="none"/>
              </w:rPr>
              <w:t>数量</w:t>
            </w:r>
          </w:p>
        </w:tc>
        <w:tc>
          <w:tcPr>
            <w:tcW w:w="1070" w:type="dxa"/>
            <w:gridSpan w:val="2"/>
            <w:tcBorders>
              <w:top w:val="nil"/>
              <w:left w:val="nil"/>
              <w:bottom w:val="single" w:color="auto" w:sz="4" w:space="0"/>
              <w:right w:val="single" w:color="auto" w:sz="4" w:space="0"/>
            </w:tcBorders>
            <w:noWrap w:val="0"/>
            <w:vAlign w:val="center"/>
          </w:tcPr>
          <w:p w14:paraId="001B2326">
            <w:pPr>
              <w:widowControl/>
              <w:jc w:val="center"/>
              <w:rPr>
                <w:rFonts w:hAnsi="宋体" w:cs="仿宋"/>
                <w:color w:val="auto"/>
                <w:sz w:val="21"/>
                <w:szCs w:val="21"/>
                <w:highlight w:val="none"/>
              </w:rPr>
            </w:pPr>
            <w:r>
              <w:rPr>
                <w:rFonts w:hAnsi="宋体" w:cs="仿宋"/>
                <w:color w:val="auto"/>
                <w:sz w:val="21"/>
                <w:szCs w:val="21"/>
                <w:highlight w:val="none"/>
              </w:rPr>
              <w:t>单价(元)</w:t>
            </w:r>
          </w:p>
        </w:tc>
        <w:tc>
          <w:tcPr>
            <w:tcW w:w="1126" w:type="dxa"/>
            <w:gridSpan w:val="2"/>
            <w:tcBorders>
              <w:top w:val="nil"/>
              <w:left w:val="nil"/>
              <w:bottom w:val="single" w:color="auto" w:sz="4" w:space="0"/>
              <w:right w:val="single" w:color="auto" w:sz="4" w:space="0"/>
            </w:tcBorders>
            <w:noWrap w:val="0"/>
            <w:vAlign w:val="center"/>
          </w:tcPr>
          <w:p w14:paraId="45A74739">
            <w:pPr>
              <w:widowControl/>
              <w:jc w:val="center"/>
              <w:rPr>
                <w:rFonts w:hAnsi="宋体" w:cs="仿宋"/>
                <w:color w:val="auto"/>
                <w:sz w:val="21"/>
                <w:szCs w:val="21"/>
                <w:highlight w:val="none"/>
              </w:rPr>
            </w:pPr>
            <w:r>
              <w:rPr>
                <w:rFonts w:hAnsi="宋体" w:cs="仿宋"/>
                <w:color w:val="auto"/>
                <w:sz w:val="21"/>
                <w:szCs w:val="21"/>
                <w:highlight w:val="none"/>
              </w:rPr>
              <w:t>金额(元)</w:t>
            </w:r>
          </w:p>
        </w:tc>
      </w:tr>
      <w:tr w14:paraId="1CBB2A6E">
        <w:tblPrEx>
          <w:tblCellMar>
            <w:top w:w="0" w:type="dxa"/>
            <w:left w:w="108" w:type="dxa"/>
            <w:bottom w:w="0" w:type="dxa"/>
            <w:right w:w="108" w:type="dxa"/>
          </w:tblCellMar>
        </w:tblPrEx>
        <w:trPr>
          <w:trHeight w:val="390" w:hRule="atLeast"/>
          <w:jc w:val="center"/>
        </w:trPr>
        <w:tc>
          <w:tcPr>
            <w:tcW w:w="1543" w:type="dxa"/>
            <w:vMerge w:val="restart"/>
            <w:tcBorders>
              <w:top w:val="nil"/>
              <w:left w:val="single" w:color="auto" w:sz="4" w:space="0"/>
              <w:bottom w:val="single" w:color="000000" w:sz="4" w:space="0"/>
              <w:right w:val="single" w:color="auto" w:sz="4" w:space="0"/>
            </w:tcBorders>
            <w:noWrap w:val="0"/>
            <w:vAlign w:val="center"/>
          </w:tcPr>
          <w:p w14:paraId="0591F2E8">
            <w:pPr>
              <w:widowControl/>
              <w:jc w:val="center"/>
              <w:rPr>
                <w:rFonts w:hAnsi="宋体" w:cs="仿宋"/>
                <w:b/>
                <w:bCs/>
                <w:color w:val="auto"/>
                <w:sz w:val="21"/>
                <w:szCs w:val="21"/>
                <w:highlight w:val="none"/>
              </w:rPr>
            </w:pPr>
            <w:r>
              <w:rPr>
                <w:rFonts w:hAnsi="宋体" w:cs="仿宋"/>
                <w:b/>
                <w:bCs/>
                <w:color w:val="auto"/>
                <w:sz w:val="21"/>
                <w:szCs w:val="21"/>
                <w:highlight w:val="none"/>
              </w:rPr>
              <w:t>合同内采购</w:t>
            </w:r>
          </w:p>
        </w:tc>
        <w:tc>
          <w:tcPr>
            <w:tcW w:w="703" w:type="dxa"/>
            <w:tcBorders>
              <w:top w:val="nil"/>
              <w:left w:val="nil"/>
              <w:bottom w:val="single" w:color="auto" w:sz="4" w:space="0"/>
              <w:right w:val="single" w:color="auto" w:sz="4" w:space="0"/>
            </w:tcBorders>
            <w:noWrap w:val="0"/>
            <w:vAlign w:val="center"/>
          </w:tcPr>
          <w:p w14:paraId="7BEC5C8A">
            <w:pPr>
              <w:widowControl/>
              <w:jc w:val="center"/>
              <w:rPr>
                <w:rFonts w:hAnsi="宋体" w:cs="仿宋"/>
                <w:color w:val="auto"/>
                <w:sz w:val="21"/>
                <w:szCs w:val="21"/>
                <w:highlight w:val="none"/>
              </w:rPr>
            </w:pPr>
            <w:r>
              <w:rPr>
                <w:rFonts w:hAnsi="宋体" w:cs="仿宋"/>
                <w:color w:val="auto"/>
                <w:sz w:val="21"/>
                <w:szCs w:val="21"/>
                <w:highlight w:val="none"/>
              </w:rPr>
              <w:t>1</w:t>
            </w:r>
          </w:p>
        </w:tc>
        <w:tc>
          <w:tcPr>
            <w:tcW w:w="969" w:type="dxa"/>
            <w:tcBorders>
              <w:top w:val="nil"/>
              <w:left w:val="nil"/>
              <w:bottom w:val="single" w:color="auto" w:sz="4" w:space="0"/>
              <w:right w:val="single" w:color="auto" w:sz="4" w:space="0"/>
            </w:tcBorders>
            <w:noWrap w:val="0"/>
            <w:vAlign w:val="center"/>
          </w:tcPr>
          <w:p w14:paraId="08B899BF">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2C466D5C">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1E7F53DD">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116E4B73">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28E1B637">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3DF128CC">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3563E3AB">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18D1E90B">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4F3C591D">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73E2AD45">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5D6736BD">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7D79FD86">
            <w:pPr>
              <w:widowControl/>
              <w:jc w:val="left"/>
              <w:rPr>
                <w:rFonts w:hAnsi="宋体" w:cs="仿宋"/>
                <w:color w:val="auto"/>
                <w:sz w:val="21"/>
                <w:szCs w:val="21"/>
                <w:highlight w:val="none"/>
              </w:rPr>
            </w:pPr>
            <w:r>
              <w:rPr>
                <w:rFonts w:hAnsi="宋体" w:cs="仿宋"/>
                <w:color w:val="auto"/>
                <w:sz w:val="21"/>
                <w:szCs w:val="21"/>
                <w:highlight w:val="none"/>
              </w:rPr>
              <w:t>　</w:t>
            </w:r>
          </w:p>
        </w:tc>
      </w:tr>
      <w:tr w14:paraId="489E7CEA">
        <w:tblPrEx>
          <w:tblCellMar>
            <w:top w:w="0" w:type="dxa"/>
            <w:left w:w="108" w:type="dxa"/>
            <w:bottom w:w="0" w:type="dxa"/>
            <w:right w:w="108" w:type="dxa"/>
          </w:tblCellMar>
        </w:tblPrEx>
        <w:trPr>
          <w:trHeight w:val="390" w:hRule="atLeast"/>
          <w:jc w:val="center"/>
        </w:trPr>
        <w:tc>
          <w:tcPr>
            <w:tcW w:w="1543" w:type="dxa"/>
            <w:vMerge w:val="continue"/>
            <w:tcBorders>
              <w:top w:val="nil"/>
              <w:left w:val="single" w:color="auto" w:sz="4" w:space="0"/>
              <w:bottom w:val="single" w:color="000000" w:sz="4" w:space="0"/>
              <w:right w:val="single" w:color="auto" w:sz="4" w:space="0"/>
            </w:tcBorders>
            <w:noWrap w:val="0"/>
            <w:vAlign w:val="center"/>
          </w:tcPr>
          <w:p w14:paraId="2288EE2A">
            <w:pPr>
              <w:widowControl/>
              <w:jc w:val="left"/>
              <w:rPr>
                <w:rFonts w:hAnsi="宋体" w:cs="仿宋"/>
                <w:b/>
                <w:bCs/>
                <w:color w:val="auto"/>
                <w:sz w:val="21"/>
                <w:szCs w:val="21"/>
                <w:highlight w:val="none"/>
              </w:rPr>
            </w:pPr>
          </w:p>
        </w:tc>
        <w:tc>
          <w:tcPr>
            <w:tcW w:w="703" w:type="dxa"/>
            <w:tcBorders>
              <w:top w:val="nil"/>
              <w:left w:val="nil"/>
              <w:bottom w:val="single" w:color="auto" w:sz="4" w:space="0"/>
              <w:right w:val="single" w:color="auto" w:sz="4" w:space="0"/>
            </w:tcBorders>
            <w:noWrap w:val="0"/>
            <w:vAlign w:val="center"/>
          </w:tcPr>
          <w:p w14:paraId="00CEE141">
            <w:pPr>
              <w:widowControl/>
              <w:jc w:val="center"/>
              <w:rPr>
                <w:rFonts w:hAnsi="宋体" w:cs="仿宋"/>
                <w:color w:val="auto"/>
                <w:sz w:val="21"/>
                <w:szCs w:val="21"/>
                <w:highlight w:val="none"/>
              </w:rPr>
            </w:pPr>
            <w:r>
              <w:rPr>
                <w:rFonts w:hAnsi="宋体" w:cs="仿宋"/>
                <w:color w:val="auto"/>
                <w:sz w:val="21"/>
                <w:szCs w:val="21"/>
                <w:highlight w:val="none"/>
              </w:rPr>
              <w:t>2</w:t>
            </w:r>
          </w:p>
        </w:tc>
        <w:tc>
          <w:tcPr>
            <w:tcW w:w="969" w:type="dxa"/>
            <w:tcBorders>
              <w:top w:val="nil"/>
              <w:left w:val="nil"/>
              <w:bottom w:val="single" w:color="auto" w:sz="4" w:space="0"/>
              <w:right w:val="single" w:color="auto" w:sz="4" w:space="0"/>
            </w:tcBorders>
            <w:noWrap w:val="0"/>
            <w:vAlign w:val="center"/>
          </w:tcPr>
          <w:p w14:paraId="456B7A99">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1E954CB4">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24BA6C21">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72E42326">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2362BA4C">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6345379B">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093EC08C">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430B10DE">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09541B27">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6448CA05">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66A79583">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154E2C0D">
            <w:pPr>
              <w:widowControl/>
              <w:jc w:val="left"/>
              <w:rPr>
                <w:rFonts w:hAnsi="宋体" w:cs="仿宋"/>
                <w:color w:val="auto"/>
                <w:sz w:val="21"/>
                <w:szCs w:val="21"/>
                <w:highlight w:val="none"/>
              </w:rPr>
            </w:pPr>
            <w:r>
              <w:rPr>
                <w:rFonts w:hAnsi="宋体" w:cs="仿宋"/>
                <w:color w:val="auto"/>
                <w:sz w:val="21"/>
                <w:szCs w:val="21"/>
                <w:highlight w:val="none"/>
              </w:rPr>
              <w:t>　</w:t>
            </w:r>
          </w:p>
        </w:tc>
      </w:tr>
      <w:tr w14:paraId="301E4052">
        <w:tblPrEx>
          <w:tblCellMar>
            <w:top w:w="0" w:type="dxa"/>
            <w:left w:w="108" w:type="dxa"/>
            <w:bottom w:w="0" w:type="dxa"/>
            <w:right w:w="108" w:type="dxa"/>
          </w:tblCellMar>
        </w:tblPrEx>
        <w:trPr>
          <w:trHeight w:val="390" w:hRule="atLeast"/>
          <w:jc w:val="center"/>
        </w:trPr>
        <w:tc>
          <w:tcPr>
            <w:tcW w:w="1543" w:type="dxa"/>
            <w:vMerge w:val="continue"/>
            <w:tcBorders>
              <w:top w:val="nil"/>
              <w:left w:val="single" w:color="auto" w:sz="4" w:space="0"/>
              <w:bottom w:val="single" w:color="000000" w:sz="4" w:space="0"/>
              <w:right w:val="single" w:color="auto" w:sz="4" w:space="0"/>
            </w:tcBorders>
            <w:noWrap w:val="0"/>
            <w:vAlign w:val="center"/>
          </w:tcPr>
          <w:p w14:paraId="7E0F6935">
            <w:pPr>
              <w:widowControl/>
              <w:jc w:val="left"/>
              <w:rPr>
                <w:rFonts w:hAnsi="宋体" w:cs="仿宋"/>
                <w:b/>
                <w:bCs/>
                <w:color w:val="auto"/>
                <w:sz w:val="21"/>
                <w:szCs w:val="21"/>
                <w:highlight w:val="none"/>
              </w:rPr>
            </w:pPr>
          </w:p>
        </w:tc>
        <w:tc>
          <w:tcPr>
            <w:tcW w:w="703" w:type="dxa"/>
            <w:tcBorders>
              <w:top w:val="nil"/>
              <w:left w:val="nil"/>
              <w:bottom w:val="single" w:color="auto" w:sz="4" w:space="0"/>
              <w:right w:val="single" w:color="auto" w:sz="4" w:space="0"/>
            </w:tcBorders>
            <w:noWrap w:val="0"/>
            <w:vAlign w:val="center"/>
          </w:tcPr>
          <w:p w14:paraId="14B86DB5">
            <w:pPr>
              <w:widowControl/>
              <w:jc w:val="center"/>
              <w:rPr>
                <w:rFonts w:hAnsi="宋体" w:cs="仿宋"/>
                <w:color w:val="auto"/>
                <w:sz w:val="21"/>
                <w:szCs w:val="21"/>
                <w:highlight w:val="none"/>
              </w:rPr>
            </w:pPr>
            <w:r>
              <w:rPr>
                <w:rFonts w:hAnsi="宋体" w:cs="仿宋"/>
                <w:color w:val="auto"/>
                <w:sz w:val="21"/>
                <w:szCs w:val="21"/>
                <w:highlight w:val="none"/>
              </w:rPr>
              <w:t>3</w:t>
            </w:r>
          </w:p>
        </w:tc>
        <w:tc>
          <w:tcPr>
            <w:tcW w:w="969" w:type="dxa"/>
            <w:tcBorders>
              <w:top w:val="nil"/>
              <w:left w:val="nil"/>
              <w:bottom w:val="single" w:color="auto" w:sz="4" w:space="0"/>
              <w:right w:val="single" w:color="auto" w:sz="4" w:space="0"/>
            </w:tcBorders>
            <w:noWrap w:val="0"/>
            <w:vAlign w:val="center"/>
          </w:tcPr>
          <w:p w14:paraId="534324FB">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02F8CE4D">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1B3ED007">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558FCDBF">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416BA5BA">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7462C26F">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0EF82F86">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1CFF7333">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4E378AB4">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6FCA62BB">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2ABC2B3B">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7B09278F">
            <w:pPr>
              <w:widowControl/>
              <w:jc w:val="left"/>
              <w:rPr>
                <w:rFonts w:hAnsi="宋体" w:cs="仿宋"/>
                <w:color w:val="auto"/>
                <w:sz w:val="21"/>
                <w:szCs w:val="21"/>
                <w:highlight w:val="none"/>
              </w:rPr>
            </w:pPr>
            <w:r>
              <w:rPr>
                <w:rFonts w:hAnsi="宋体" w:cs="仿宋"/>
                <w:color w:val="auto"/>
                <w:sz w:val="21"/>
                <w:szCs w:val="21"/>
                <w:highlight w:val="none"/>
              </w:rPr>
              <w:t>　</w:t>
            </w:r>
          </w:p>
        </w:tc>
      </w:tr>
      <w:tr w14:paraId="16BB80A2">
        <w:tblPrEx>
          <w:tblCellMar>
            <w:top w:w="0" w:type="dxa"/>
            <w:left w:w="108" w:type="dxa"/>
            <w:bottom w:w="0" w:type="dxa"/>
            <w:right w:w="108" w:type="dxa"/>
          </w:tblCellMar>
        </w:tblPrEx>
        <w:trPr>
          <w:trHeight w:val="390" w:hRule="atLeast"/>
          <w:jc w:val="center"/>
        </w:trPr>
        <w:tc>
          <w:tcPr>
            <w:tcW w:w="1543" w:type="dxa"/>
            <w:vMerge w:val="continue"/>
            <w:tcBorders>
              <w:top w:val="nil"/>
              <w:left w:val="single" w:color="auto" w:sz="4" w:space="0"/>
              <w:bottom w:val="single" w:color="000000" w:sz="4" w:space="0"/>
              <w:right w:val="single" w:color="auto" w:sz="4" w:space="0"/>
            </w:tcBorders>
            <w:noWrap w:val="0"/>
            <w:vAlign w:val="center"/>
          </w:tcPr>
          <w:p w14:paraId="3CD189C3">
            <w:pPr>
              <w:widowControl/>
              <w:jc w:val="left"/>
              <w:rPr>
                <w:rFonts w:hAnsi="宋体" w:cs="仿宋"/>
                <w:b/>
                <w:bCs/>
                <w:color w:val="auto"/>
                <w:sz w:val="21"/>
                <w:szCs w:val="21"/>
                <w:highlight w:val="none"/>
              </w:rPr>
            </w:pPr>
          </w:p>
        </w:tc>
        <w:tc>
          <w:tcPr>
            <w:tcW w:w="703" w:type="dxa"/>
            <w:tcBorders>
              <w:top w:val="nil"/>
              <w:left w:val="nil"/>
              <w:bottom w:val="single" w:color="auto" w:sz="4" w:space="0"/>
              <w:right w:val="single" w:color="auto" w:sz="4" w:space="0"/>
            </w:tcBorders>
            <w:noWrap w:val="0"/>
            <w:vAlign w:val="center"/>
          </w:tcPr>
          <w:p w14:paraId="3FE3FB65">
            <w:pPr>
              <w:widowControl/>
              <w:jc w:val="center"/>
              <w:rPr>
                <w:rFonts w:hAnsi="宋体" w:cs="仿宋"/>
                <w:color w:val="auto"/>
                <w:sz w:val="21"/>
                <w:szCs w:val="21"/>
                <w:highlight w:val="none"/>
              </w:rPr>
            </w:pPr>
            <w:r>
              <w:rPr>
                <w:rFonts w:hAnsi="宋体" w:cs="仿宋"/>
                <w:color w:val="auto"/>
                <w:sz w:val="21"/>
                <w:szCs w:val="21"/>
                <w:highlight w:val="none"/>
              </w:rPr>
              <w:t>4</w:t>
            </w:r>
          </w:p>
        </w:tc>
        <w:tc>
          <w:tcPr>
            <w:tcW w:w="969" w:type="dxa"/>
            <w:tcBorders>
              <w:top w:val="nil"/>
              <w:left w:val="nil"/>
              <w:bottom w:val="single" w:color="auto" w:sz="4" w:space="0"/>
              <w:right w:val="single" w:color="auto" w:sz="4" w:space="0"/>
            </w:tcBorders>
            <w:noWrap w:val="0"/>
            <w:vAlign w:val="center"/>
          </w:tcPr>
          <w:p w14:paraId="2B7466D8">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5D7DFEF0">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24BD6058">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3346F674">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4D731A69">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3682C2A2">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7DE1D16C">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0F243BBA">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391C76D3">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00B74042">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1B72ED3E">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2067BEC7">
            <w:pPr>
              <w:widowControl/>
              <w:jc w:val="left"/>
              <w:rPr>
                <w:rFonts w:hAnsi="宋体" w:cs="仿宋"/>
                <w:color w:val="auto"/>
                <w:sz w:val="21"/>
                <w:szCs w:val="21"/>
                <w:highlight w:val="none"/>
              </w:rPr>
            </w:pPr>
            <w:r>
              <w:rPr>
                <w:rFonts w:hAnsi="宋体" w:cs="仿宋"/>
                <w:color w:val="auto"/>
                <w:sz w:val="21"/>
                <w:szCs w:val="21"/>
                <w:highlight w:val="none"/>
              </w:rPr>
              <w:t>　</w:t>
            </w:r>
          </w:p>
        </w:tc>
      </w:tr>
      <w:tr w14:paraId="765C1646">
        <w:tblPrEx>
          <w:tblCellMar>
            <w:top w:w="0" w:type="dxa"/>
            <w:left w:w="108" w:type="dxa"/>
            <w:bottom w:w="0" w:type="dxa"/>
            <w:right w:w="108" w:type="dxa"/>
          </w:tblCellMar>
        </w:tblPrEx>
        <w:trPr>
          <w:trHeight w:val="482" w:hRule="atLeast"/>
          <w:jc w:val="center"/>
        </w:trPr>
        <w:tc>
          <w:tcPr>
            <w:tcW w:w="1543" w:type="dxa"/>
            <w:vMerge w:val="continue"/>
            <w:tcBorders>
              <w:top w:val="nil"/>
              <w:left w:val="single" w:color="auto" w:sz="4" w:space="0"/>
              <w:bottom w:val="single" w:color="000000" w:sz="4" w:space="0"/>
              <w:right w:val="single" w:color="auto" w:sz="4" w:space="0"/>
            </w:tcBorders>
            <w:noWrap w:val="0"/>
            <w:vAlign w:val="center"/>
          </w:tcPr>
          <w:p w14:paraId="080C0DC9">
            <w:pPr>
              <w:widowControl/>
              <w:jc w:val="left"/>
              <w:rPr>
                <w:rFonts w:hAnsi="宋体" w:cs="仿宋"/>
                <w:b/>
                <w:bCs/>
                <w:color w:val="auto"/>
                <w:sz w:val="21"/>
                <w:szCs w:val="21"/>
                <w:highlight w:val="none"/>
              </w:rPr>
            </w:pPr>
          </w:p>
        </w:tc>
        <w:tc>
          <w:tcPr>
            <w:tcW w:w="703" w:type="dxa"/>
            <w:tcBorders>
              <w:top w:val="nil"/>
              <w:left w:val="nil"/>
              <w:bottom w:val="single" w:color="auto" w:sz="4" w:space="0"/>
              <w:right w:val="single" w:color="auto" w:sz="4" w:space="0"/>
            </w:tcBorders>
            <w:noWrap w:val="0"/>
            <w:vAlign w:val="center"/>
          </w:tcPr>
          <w:p w14:paraId="32C88D07">
            <w:pPr>
              <w:widowControl/>
              <w:jc w:val="center"/>
              <w:rPr>
                <w:rFonts w:hAnsi="宋体" w:cs="仿宋"/>
                <w:color w:val="auto"/>
                <w:sz w:val="21"/>
                <w:szCs w:val="21"/>
                <w:highlight w:val="none"/>
              </w:rPr>
            </w:pPr>
            <w:r>
              <w:rPr>
                <w:rFonts w:hAnsi="宋体" w:cs="仿宋"/>
                <w:color w:val="auto"/>
                <w:sz w:val="21"/>
                <w:szCs w:val="21"/>
                <w:highlight w:val="none"/>
              </w:rPr>
              <w:t>小计</w:t>
            </w:r>
          </w:p>
        </w:tc>
        <w:tc>
          <w:tcPr>
            <w:tcW w:w="969" w:type="dxa"/>
            <w:tcBorders>
              <w:top w:val="nil"/>
              <w:left w:val="nil"/>
              <w:bottom w:val="single" w:color="auto" w:sz="4" w:space="0"/>
              <w:right w:val="single" w:color="auto" w:sz="4" w:space="0"/>
            </w:tcBorders>
            <w:noWrap w:val="0"/>
            <w:vAlign w:val="center"/>
          </w:tcPr>
          <w:p w14:paraId="1178AD62">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27B50236">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40A474FB">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17DF5817">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517EBE87">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56F0D0A4">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05E5C6A8">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5BDA30A9">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58A83AE0">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15C06970">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72B45E7E">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260EC875">
            <w:pPr>
              <w:widowControl/>
              <w:jc w:val="left"/>
              <w:rPr>
                <w:rFonts w:hAnsi="宋体" w:cs="仿宋"/>
                <w:color w:val="auto"/>
                <w:sz w:val="21"/>
                <w:szCs w:val="21"/>
                <w:highlight w:val="none"/>
              </w:rPr>
            </w:pPr>
            <w:r>
              <w:rPr>
                <w:rFonts w:hAnsi="宋体" w:cs="仿宋"/>
                <w:color w:val="auto"/>
                <w:sz w:val="21"/>
                <w:szCs w:val="21"/>
                <w:highlight w:val="none"/>
              </w:rPr>
              <w:t>　</w:t>
            </w:r>
          </w:p>
        </w:tc>
      </w:tr>
      <w:tr w14:paraId="6381949A">
        <w:tblPrEx>
          <w:tblCellMar>
            <w:top w:w="0" w:type="dxa"/>
            <w:left w:w="108" w:type="dxa"/>
            <w:bottom w:w="0" w:type="dxa"/>
            <w:right w:w="108" w:type="dxa"/>
          </w:tblCellMar>
        </w:tblPrEx>
        <w:trPr>
          <w:trHeight w:val="390" w:hRule="atLeast"/>
          <w:jc w:val="center"/>
        </w:trPr>
        <w:tc>
          <w:tcPr>
            <w:tcW w:w="1543" w:type="dxa"/>
            <w:vMerge w:val="restart"/>
            <w:tcBorders>
              <w:top w:val="nil"/>
              <w:left w:val="single" w:color="auto" w:sz="4" w:space="0"/>
              <w:bottom w:val="single" w:color="000000" w:sz="4" w:space="0"/>
              <w:right w:val="single" w:color="auto" w:sz="4" w:space="0"/>
            </w:tcBorders>
            <w:noWrap w:val="0"/>
            <w:vAlign w:val="center"/>
          </w:tcPr>
          <w:p w14:paraId="631B8ED9">
            <w:pPr>
              <w:widowControl/>
              <w:jc w:val="center"/>
              <w:rPr>
                <w:rFonts w:hAnsi="宋体" w:cs="仿宋"/>
                <w:b/>
                <w:bCs/>
                <w:color w:val="auto"/>
                <w:sz w:val="21"/>
                <w:szCs w:val="21"/>
                <w:highlight w:val="none"/>
              </w:rPr>
            </w:pPr>
            <w:r>
              <w:rPr>
                <w:rFonts w:hAnsi="宋体" w:cs="仿宋"/>
                <w:b/>
                <w:bCs/>
                <w:color w:val="auto"/>
                <w:sz w:val="21"/>
                <w:szCs w:val="21"/>
                <w:highlight w:val="none"/>
              </w:rPr>
              <w:t>合同外采购</w:t>
            </w:r>
          </w:p>
        </w:tc>
        <w:tc>
          <w:tcPr>
            <w:tcW w:w="703" w:type="dxa"/>
            <w:tcBorders>
              <w:top w:val="nil"/>
              <w:left w:val="nil"/>
              <w:bottom w:val="single" w:color="auto" w:sz="4" w:space="0"/>
              <w:right w:val="single" w:color="auto" w:sz="4" w:space="0"/>
            </w:tcBorders>
            <w:noWrap w:val="0"/>
            <w:vAlign w:val="center"/>
          </w:tcPr>
          <w:p w14:paraId="3BB302F5">
            <w:pPr>
              <w:widowControl/>
              <w:jc w:val="center"/>
              <w:rPr>
                <w:rFonts w:hAnsi="宋体" w:cs="仿宋"/>
                <w:color w:val="auto"/>
                <w:sz w:val="21"/>
                <w:szCs w:val="21"/>
                <w:highlight w:val="none"/>
              </w:rPr>
            </w:pPr>
            <w:r>
              <w:rPr>
                <w:rFonts w:hAnsi="宋体" w:cs="仿宋"/>
                <w:color w:val="auto"/>
                <w:sz w:val="21"/>
                <w:szCs w:val="21"/>
                <w:highlight w:val="none"/>
              </w:rPr>
              <w:t>1</w:t>
            </w:r>
          </w:p>
        </w:tc>
        <w:tc>
          <w:tcPr>
            <w:tcW w:w="969" w:type="dxa"/>
            <w:tcBorders>
              <w:top w:val="nil"/>
              <w:left w:val="nil"/>
              <w:bottom w:val="single" w:color="auto" w:sz="4" w:space="0"/>
              <w:right w:val="single" w:color="auto" w:sz="4" w:space="0"/>
            </w:tcBorders>
            <w:noWrap w:val="0"/>
            <w:vAlign w:val="center"/>
          </w:tcPr>
          <w:p w14:paraId="398F98DB">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201C9C3A">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2796B269">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3688D792">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4AC90470">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3A443F5D">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14F2DC00">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37795A30">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206B5E7D">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33392D11">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3C84C25A">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66D57C91">
            <w:pPr>
              <w:widowControl/>
              <w:jc w:val="left"/>
              <w:rPr>
                <w:rFonts w:hAnsi="宋体" w:cs="仿宋"/>
                <w:color w:val="auto"/>
                <w:sz w:val="21"/>
                <w:szCs w:val="21"/>
                <w:highlight w:val="none"/>
              </w:rPr>
            </w:pPr>
            <w:r>
              <w:rPr>
                <w:rFonts w:hAnsi="宋体" w:cs="仿宋"/>
                <w:color w:val="auto"/>
                <w:sz w:val="21"/>
                <w:szCs w:val="21"/>
                <w:highlight w:val="none"/>
              </w:rPr>
              <w:t>　</w:t>
            </w:r>
          </w:p>
        </w:tc>
      </w:tr>
      <w:tr w14:paraId="58F20292">
        <w:tblPrEx>
          <w:tblCellMar>
            <w:top w:w="0" w:type="dxa"/>
            <w:left w:w="108" w:type="dxa"/>
            <w:bottom w:w="0" w:type="dxa"/>
            <w:right w:w="108" w:type="dxa"/>
          </w:tblCellMar>
        </w:tblPrEx>
        <w:trPr>
          <w:trHeight w:val="390" w:hRule="atLeast"/>
          <w:jc w:val="center"/>
        </w:trPr>
        <w:tc>
          <w:tcPr>
            <w:tcW w:w="1543" w:type="dxa"/>
            <w:vMerge w:val="continue"/>
            <w:tcBorders>
              <w:top w:val="nil"/>
              <w:left w:val="single" w:color="auto" w:sz="4" w:space="0"/>
              <w:bottom w:val="single" w:color="000000" w:sz="4" w:space="0"/>
              <w:right w:val="single" w:color="auto" w:sz="4" w:space="0"/>
            </w:tcBorders>
            <w:noWrap w:val="0"/>
            <w:vAlign w:val="center"/>
          </w:tcPr>
          <w:p w14:paraId="031264A9">
            <w:pPr>
              <w:widowControl/>
              <w:jc w:val="left"/>
              <w:rPr>
                <w:rFonts w:hAnsi="宋体" w:cs="仿宋"/>
                <w:b/>
                <w:bCs/>
                <w:color w:val="auto"/>
                <w:sz w:val="21"/>
                <w:szCs w:val="21"/>
                <w:highlight w:val="none"/>
              </w:rPr>
            </w:pPr>
          </w:p>
        </w:tc>
        <w:tc>
          <w:tcPr>
            <w:tcW w:w="703" w:type="dxa"/>
            <w:tcBorders>
              <w:top w:val="nil"/>
              <w:left w:val="nil"/>
              <w:bottom w:val="single" w:color="auto" w:sz="4" w:space="0"/>
              <w:right w:val="single" w:color="auto" w:sz="4" w:space="0"/>
            </w:tcBorders>
            <w:noWrap w:val="0"/>
            <w:vAlign w:val="center"/>
          </w:tcPr>
          <w:p w14:paraId="5180B66D">
            <w:pPr>
              <w:widowControl/>
              <w:jc w:val="center"/>
              <w:rPr>
                <w:rFonts w:hAnsi="宋体" w:cs="仿宋"/>
                <w:color w:val="auto"/>
                <w:sz w:val="21"/>
                <w:szCs w:val="21"/>
                <w:highlight w:val="none"/>
              </w:rPr>
            </w:pPr>
            <w:r>
              <w:rPr>
                <w:rFonts w:hAnsi="宋体" w:cs="仿宋"/>
                <w:color w:val="auto"/>
                <w:sz w:val="21"/>
                <w:szCs w:val="21"/>
                <w:highlight w:val="none"/>
              </w:rPr>
              <w:t>2</w:t>
            </w:r>
          </w:p>
        </w:tc>
        <w:tc>
          <w:tcPr>
            <w:tcW w:w="969" w:type="dxa"/>
            <w:tcBorders>
              <w:top w:val="nil"/>
              <w:left w:val="nil"/>
              <w:bottom w:val="single" w:color="auto" w:sz="4" w:space="0"/>
              <w:right w:val="single" w:color="auto" w:sz="4" w:space="0"/>
            </w:tcBorders>
            <w:noWrap w:val="0"/>
            <w:vAlign w:val="center"/>
          </w:tcPr>
          <w:p w14:paraId="43EA5FE9">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1AEB1B46">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7B6CC614">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56376A44">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3C56E920">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27CA6B0B">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5B0AD027">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29124B07">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2DC8D8D1">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37114F7B">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157347C5">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78BF7696">
            <w:pPr>
              <w:widowControl/>
              <w:jc w:val="left"/>
              <w:rPr>
                <w:rFonts w:hAnsi="宋体" w:cs="仿宋"/>
                <w:color w:val="auto"/>
                <w:sz w:val="21"/>
                <w:szCs w:val="21"/>
                <w:highlight w:val="none"/>
              </w:rPr>
            </w:pPr>
            <w:r>
              <w:rPr>
                <w:rFonts w:hAnsi="宋体" w:cs="仿宋"/>
                <w:color w:val="auto"/>
                <w:sz w:val="21"/>
                <w:szCs w:val="21"/>
                <w:highlight w:val="none"/>
              </w:rPr>
              <w:t>　</w:t>
            </w:r>
          </w:p>
        </w:tc>
      </w:tr>
      <w:tr w14:paraId="28909C42">
        <w:tblPrEx>
          <w:tblCellMar>
            <w:top w:w="0" w:type="dxa"/>
            <w:left w:w="108" w:type="dxa"/>
            <w:bottom w:w="0" w:type="dxa"/>
            <w:right w:w="108" w:type="dxa"/>
          </w:tblCellMar>
        </w:tblPrEx>
        <w:trPr>
          <w:trHeight w:val="390" w:hRule="atLeast"/>
          <w:jc w:val="center"/>
        </w:trPr>
        <w:tc>
          <w:tcPr>
            <w:tcW w:w="1543" w:type="dxa"/>
            <w:vMerge w:val="continue"/>
            <w:tcBorders>
              <w:top w:val="nil"/>
              <w:left w:val="single" w:color="auto" w:sz="4" w:space="0"/>
              <w:bottom w:val="single" w:color="000000" w:sz="4" w:space="0"/>
              <w:right w:val="single" w:color="auto" w:sz="4" w:space="0"/>
            </w:tcBorders>
            <w:noWrap w:val="0"/>
            <w:vAlign w:val="center"/>
          </w:tcPr>
          <w:p w14:paraId="6D7949F7">
            <w:pPr>
              <w:widowControl/>
              <w:jc w:val="left"/>
              <w:rPr>
                <w:rFonts w:hAnsi="宋体" w:cs="仿宋"/>
                <w:b/>
                <w:bCs/>
                <w:color w:val="auto"/>
                <w:sz w:val="21"/>
                <w:szCs w:val="21"/>
                <w:highlight w:val="none"/>
              </w:rPr>
            </w:pPr>
          </w:p>
        </w:tc>
        <w:tc>
          <w:tcPr>
            <w:tcW w:w="703" w:type="dxa"/>
            <w:tcBorders>
              <w:top w:val="nil"/>
              <w:left w:val="nil"/>
              <w:bottom w:val="single" w:color="auto" w:sz="4" w:space="0"/>
              <w:right w:val="single" w:color="auto" w:sz="4" w:space="0"/>
            </w:tcBorders>
            <w:noWrap w:val="0"/>
            <w:vAlign w:val="center"/>
          </w:tcPr>
          <w:p w14:paraId="1FECFE83">
            <w:pPr>
              <w:widowControl/>
              <w:jc w:val="center"/>
              <w:rPr>
                <w:rFonts w:hAnsi="宋体" w:cs="仿宋"/>
                <w:color w:val="auto"/>
                <w:sz w:val="21"/>
                <w:szCs w:val="21"/>
                <w:highlight w:val="none"/>
              </w:rPr>
            </w:pPr>
            <w:r>
              <w:rPr>
                <w:rFonts w:hAnsi="宋体" w:cs="仿宋"/>
                <w:color w:val="auto"/>
                <w:sz w:val="21"/>
                <w:szCs w:val="21"/>
                <w:highlight w:val="none"/>
              </w:rPr>
              <w:t>小计</w:t>
            </w:r>
          </w:p>
        </w:tc>
        <w:tc>
          <w:tcPr>
            <w:tcW w:w="969" w:type="dxa"/>
            <w:tcBorders>
              <w:top w:val="nil"/>
              <w:left w:val="nil"/>
              <w:bottom w:val="single" w:color="auto" w:sz="4" w:space="0"/>
              <w:right w:val="single" w:color="auto" w:sz="4" w:space="0"/>
            </w:tcBorders>
            <w:noWrap w:val="0"/>
            <w:vAlign w:val="center"/>
          </w:tcPr>
          <w:p w14:paraId="1A321281">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2DC18B09">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500BB8E0">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460A22B5">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22DC20E8">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77FA53D0">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69B79679">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1FBBD966">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33F77B47">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4E22C2A5">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22EE47E4">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295B3965">
            <w:pPr>
              <w:widowControl/>
              <w:jc w:val="left"/>
              <w:rPr>
                <w:rFonts w:hAnsi="宋体" w:cs="仿宋"/>
                <w:color w:val="auto"/>
                <w:sz w:val="21"/>
                <w:szCs w:val="21"/>
                <w:highlight w:val="none"/>
              </w:rPr>
            </w:pPr>
            <w:r>
              <w:rPr>
                <w:rFonts w:hAnsi="宋体" w:cs="仿宋"/>
                <w:color w:val="auto"/>
                <w:sz w:val="21"/>
                <w:szCs w:val="21"/>
                <w:highlight w:val="none"/>
              </w:rPr>
              <w:t>　</w:t>
            </w:r>
          </w:p>
        </w:tc>
      </w:tr>
      <w:tr w14:paraId="352B4782">
        <w:tblPrEx>
          <w:tblCellMar>
            <w:top w:w="0" w:type="dxa"/>
            <w:left w:w="108" w:type="dxa"/>
            <w:bottom w:w="0" w:type="dxa"/>
            <w:right w:w="108" w:type="dxa"/>
          </w:tblCellMar>
        </w:tblPrEx>
        <w:trPr>
          <w:trHeight w:val="390" w:hRule="atLeast"/>
          <w:jc w:val="center"/>
        </w:trPr>
        <w:tc>
          <w:tcPr>
            <w:tcW w:w="1543" w:type="dxa"/>
            <w:vMerge w:val="restart"/>
            <w:tcBorders>
              <w:top w:val="nil"/>
              <w:left w:val="single" w:color="auto" w:sz="4" w:space="0"/>
              <w:bottom w:val="single" w:color="000000" w:sz="4" w:space="0"/>
              <w:right w:val="single" w:color="auto" w:sz="4" w:space="0"/>
            </w:tcBorders>
            <w:noWrap w:val="0"/>
            <w:vAlign w:val="center"/>
          </w:tcPr>
          <w:p w14:paraId="3B0B5C6D">
            <w:pPr>
              <w:widowControl/>
              <w:jc w:val="center"/>
              <w:rPr>
                <w:rFonts w:hAnsi="宋体" w:cs="仿宋"/>
                <w:b/>
                <w:bCs/>
                <w:color w:val="auto"/>
                <w:sz w:val="21"/>
                <w:szCs w:val="21"/>
                <w:highlight w:val="none"/>
              </w:rPr>
            </w:pPr>
            <w:r>
              <w:rPr>
                <w:rFonts w:hAnsi="宋体" w:cs="仿宋"/>
                <w:b/>
                <w:bCs/>
                <w:color w:val="auto"/>
                <w:sz w:val="21"/>
                <w:szCs w:val="21"/>
                <w:highlight w:val="none"/>
              </w:rPr>
              <w:t>各类应扣款</w:t>
            </w:r>
            <w:r>
              <w:rPr>
                <w:rFonts w:hAnsi="宋体" w:cs="仿宋"/>
                <w:color w:val="auto"/>
                <w:sz w:val="21"/>
                <w:szCs w:val="21"/>
                <w:highlight w:val="none"/>
              </w:rPr>
              <w:t>（罚款、检测试验、领用、违约金等）</w:t>
            </w:r>
          </w:p>
        </w:tc>
        <w:tc>
          <w:tcPr>
            <w:tcW w:w="703" w:type="dxa"/>
            <w:tcBorders>
              <w:top w:val="nil"/>
              <w:left w:val="nil"/>
              <w:bottom w:val="single" w:color="auto" w:sz="4" w:space="0"/>
              <w:right w:val="single" w:color="auto" w:sz="4" w:space="0"/>
            </w:tcBorders>
            <w:noWrap w:val="0"/>
            <w:vAlign w:val="center"/>
          </w:tcPr>
          <w:p w14:paraId="11B65C43">
            <w:pPr>
              <w:widowControl/>
              <w:jc w:val="center"/>
              <w:rPr>
                <w:rFonts w:hAnsi="宋体" w:cs="仿宋"/>
                <w:color w:val="auto"/>
                <w:sz w:val="21"/>
                <w:szCs w:val="21"/>
                <w:highlight w:val="none"/>
              </w:rPr>
            </w:pPr>
            <w:r>
              <w:rPr>
                <w:rFonts w:hAnsi="宋体" w:cs="仿宋"/>
                <w:color w:val="auto"/>
                <w:sz w:val="21"/>
                <w:szCs w:val="21"/>
                <w:highlight w:val="none"/>
              </w:rPr>
              <w:t>1</w:t>
            </w:r>
          </w:p>
        </w:tc>
        <w:tc>
          <w:tcPr>
            <w:tcW w:w="969" w:type="dxa"/>
            <w:tcBorders>
              <w:top w:val="nil"/>
              <w:left w:val="nil"/>
              <w:bottom w:val="single" w:color="auto" w:sz="4" w:space="0"/>
              <w:right w:val="single" w:color="auto" w:sz="4" w:space="0"/>
            </w:tcBorders>
            <w:noWrap w:val="0"/>
            <w:vAlign w:val="center"/>
          </w:tcPr>
          <w:p w14:paraId="392E3AE5">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44449FCB">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2BF62639">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489F0866">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47BF3088">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668BEA2A">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541B5B8A">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1E8F3369">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136F42D3">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610C123E">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30366BF3">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6D3C15BA">
            <w:pPr>
              <w:widowControl/>
              <w:jc w:val="left"/>
              <w:rPr>
                <w:rFonts w:hAnsi="宋体" w:cs="仿宋"/>
                <w:color w:val="auto"/>
                <w:sz w:val="21"/>
                <w:szCs w:val="21"/>
                <w:highlight w:val="none"/>
              </w:rPr>
            </w:pPr>
            <w:r>
              <w:rPr>
                <w:rFonts w:hAnsi="宋体" w:cs="仿宋"/>
                <w:color w:val="auto"/>
                <w:sz w:val="21"/>
                <w:szCs w:val="21"/>
                <w:highlight w:val="none"/>
              </w:rPr>
              <w:t>　</w:t>
            </w:r>
          </w:p>
        </w:tc>
      </w:tr>
      <w:tr w14:paraId="47E2AA47">
        <w:tblPrEx>
          <w:tblCellMar>
            <w:top w:w="0" w:type="dxa"/>
            <w:left w:w="108" w:type="dxa"/>
            <w:bottom w:w="0" w:type="dxa"/>
            <w:right w:w="108" w:type="dxa"/>
          </w:tblCellMar>
        </w:tblPrEx>
        <w:trPr>
          <w:trHeight w:val="390" w:hRule="atLeast"/>
          <w:jc w:val="center"/>
        </w:trPr>
        <w:tc>
          <w:tcPr>
            <w:tcW w:w="1543" w:type="dxa"/>
            <w:vMerge w:val="continue"/>
            <w:tcBorders>
              <w:top w:val="nil"/>
              <w:left w:val="single" w:color="auto" w:sz="4" w:space="0"/>
              <w:bottom w:val="single" w:color="000000" w:sz="4" w:space="0"/>
              <w:right w:val="single" w:color="auto" w:sz="4" w:space="0"/>
            </w:tcBorders>
            <w:noWrap w:val="0"/>
            <w:vAlign w:val="center"/>
          </w:tcPr>
          <w:p w14:paraId="26AF331A">
            <w:pPr>
              <w:widowControl/>
              <w:jc w:val="left"/>
              <w:rPr>
                <w:rFonts w:hAnsi="宋体" w:cs="仿宋"/>
                <w:b/>
                <w:bCs/>
                <w:color w:val="auto"/>
                <w:sz w:val="21"/>
                <w:szCs w:val="21"/>
                <w:highlight w:val="none"/>
              </w:rPr>
            </w:pPr>
          </w:p>
        </w:tc>
        <w:tc>
          <w:tcPr>
            <w:tcW w:w="703" w:type="dxa"/>
            <w:tcBorders>
              <w:top w:val="nil"/>
              <w:left w:val="nil"/>
              <w:bottom w:val="single" w:color="auto" w:sz="4" w:space="0"/>
              <w:right w:val="single" w:color="auto" w:sz="4" w:space="0"/>
            </w:tcBorders>
            <w:noWrap w:val="0"/>
            <w:vAlign w:val="center"/>
          </w:tcPr>
          <w:p w14:paraId="13400D86">
            <w:pPr>
              <w:widowControl/>
              <w:jc w:val="center"/>
              <w:rPr>
                <w:rFonts w:hAnsi="宋体" w:cs="仿宋"/>
                <w:color w:val="auto"/>
                <w:sz w:val="21"/>
                <w:szCs w:val="21"/>
                <w:highlight w:val="none"/>
              </w:rPr>
            </w:pPr>
            <w:r>
              <w:rPr>
                <w:rFonts w:hAnsi="宋体" w:cs="仿宋"/>
                <w:color w:val="auto"/>
                <w:sz w:val="21"/>
                <w:szCs w:val="21"/>
                <w:highlight w:val="none"/>
              </w:rPr>
              <w:t>2</w:t>
            </w:r>
          </w:p>
        </w:tc>
        <w:tc>
          <w:tcPr>
            <w:tcW w:w="969" w:type="dxa"/>
            <w:tcBorders>
              <w:top w:val="nil"/>
              <w:left w:val="nil"/>
              <w:bottom w:val="single" w:color="auto" w:sz="4" w:space="0"/>
              <w:right w:val="single" w:color="auto" w:sz="4" w:space="0"/>
            </w:tcBorders>
            <w:noWrap w:val="0"/>
            <w:vAlign w:val="center"/>
          </w:tcPr>
          <w:p w14:paraId="3FC4AC6E">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6C7D20AF">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614AE329">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1EAE204B">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5DF85373">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6FD64B0A">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6947BCBF">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634BD8DD">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5BA0430B">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5F66683B">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1A0C60A8">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1ED9F3CB">
            <w:pPr>
              <w:widowControl/>
              <w:jc w:val="left"/>
              <w:rPr>
                <w:rFonts w:hAnsi="宋体" w:cs="仿宋"/>
                <w:color w:val="auto"/>
                <w:sz w:val="21"/>
                <w:szCs w:val="21"/>
                <w:highlight w:val="none"/>
              </w:rPr>
            </w:pPr>
            <w:r>
              <w:rPr>
                <w:rFonts w:hAnsi="宋体" w:cs="仿宋"/>
                <w:color w:val="auto"/>
                <w:sz w:val="21"/>
                <w:szCs w:val="21"/>
                <w:highlight w:val="none"/>
              </w:rPr>
              <w:t>　</w:t>
            </w:r>
          </w:p>
        </w:tc>
      </w:tr>
      <w:tr w14:paraId="5B7C0DB0">
        <w:tblPrEx>
          <w:tblCellMar>
            <w:top w:w="0" w:type="dxa"/>
            <w:left w:w="108" w:type="dxa"/>
            <w:bottom w:w="0" w:type="dxa"/>
            <w:right w:w="108" w:type="dxa"/>
          </w:tblCellMar>
        </w:tblPrEx>
        <w:trPr>
          <w:trHeight w:val="375" w:hRule="atLeast"/>
          <w:jc w:val="center"/>
        </w:trPr>
        <w:tc>
          <w:tcPr>
            <w:tcW w:w="1543" w:type="dxa"/>
            <w:vMerge w:val="continue"/>
            <w:tcBorders>
              <w:top w:val="nil"/>
              <w:left w:val="single" w:color="auto" w:sz="4" w:space="0"/>
              <w:bottom w:val="single" w:color="000000" w:sz="4" w:space="0"/>
              <w:right w:val="single" w:color="auto" w:sz="4" w:space="0"/>
            </w:tcBorders>
            <w:noWrap w:val="0"/>
            <w:vAlign w:val="center"/>
          </w:tcPr>
          <w:p w14:paraId="5F54BDA5">
            <w:pPr>
              <w:widowControl/>
              <w:jc w:val="left"/>
              <w:rPr>
                <w:rFonts w:hAnsi="宋体" w:cs="仿宋"/>
                <w:b/>
                <w:bCs/>
                <w:color w:val="auto"/>
                <w:sz w:val="21"/>
                <w:szCs w:val="21"/>
                <w:highlight w:val="none"/>
              </w:rPr>
            </w:pPr>
          </w:p>
        </w:tc>
        <w:tc>
          <w:tcPr>
            <w:tcW w:w="703" w:type="dxa"/>
            <w:tcBorders>
              <w:top w:val="nil"/>
              <w:left w:val="nil"/>
              <w:bottom w:val="single" w:color="auto" w:sz="4" w:space="0"/>
              <w:right w:val="single" w:color="auto" w:sz="4" w:space="0"/>
            </w:tcBorders>
            <w:noWrap w:val="0"/>
            <w:vAlign w:val="center"/>
          </w:tcPr>
          <w:p w14:paraId="69FC0542">
            <w:pPr>
              <w:widowControl/>
              <w:jc w:val="center"/>
              <w:rPr>
                <w:rFonts w:hAnsi="宋体" w:cs="仿宋"/>
                <w:color w:val="auto"/>
                <w:sz w:val="21"/>
                <w:szCs w:val="21"/>
                <w:highlight w:val="none"/>
              </w:rPr>
            </w:pPr>
            <w:r>
              <w:rPr>
                <w:rFonts w:hAnsi="宋体" w:cs="仿宋"/>
                <w:color w:val="auto"/>
                <w:sz w:val="21"/>
                <w:szCs w:val="21"/>
                <w:highlight w:val="none"/>
              </w:rPr>
              <w:t>小计</w:t>
            </w:r>
          </w:p>
        </w:tc>
        <w:tc>
          <w:tcPr>
            <w:tcW w:w="969" w:type="dxa"/>
            <w:tcBorders>
              <w:top w:val="nil"/>
              <w:left w:val="nil"/>
              <w:bottom w:val="single" w:color="auto" w:sz="4" w:space="0"/>
              <w:right w:val="single" w:color="auto" w:sz="4" w:space="0"/>
            </w:tcBorders>
            <w:noWrap w:val="0"/>
            <w:vAlign w:val="center"/>
          </w:tcPr>
          <w:p w14:paraId="6D81393E">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24" w:type="dxa"/>
            <w:gridSpan w:val="2"/>
            <w:tcBorders>
              <w:top w:val="nil"/>
              <w:left w:val="nil"/>
              <w:bottom w:val="single" w:color="auto" w:sz="4" w:space="0"/>
              <w:right w:val="single" w:color="auto" w:sz="4" w:space="0"/>
            </w:tcBorders>
            <w:noWrap w:val="0"/>
            <w:vAlign w:val="center"/>
          </w:tcPr>
          <w:p w14:paraId="6FAA7FD7">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6436839B">
            <w:pPr>
              <w:widowControl/>
              <w:jc w:val="center"/>
              <w:rPr>
                <w:rFonts w:hAnsi="宋体" w:cs="仿宋"/>
                <w:color w:val="auto"/>
                <w:sz w:val="21"/>
                <w:szCs w:val="21"/>
                <w:highlight w:val="none"/>
              </w:rPr>
            </w:pPr>
            <w:r>
              <w:rPr>
                <w:rFonts w:hAnsi="宋体" w:cs="仿宋"/>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7C847F58">
            <w:pPr>
              <w:widowControl/>
              <w:jc w:val="center"/>
              <w:rPr>
                <w:rFonts w:hAnsi="宋体" w:cs="仿宋"/>
                <w:color w:val="auto"/>
                <w:sz w:val="21"/>
                <w:szCs w:val="21"/>
                <w:highlight w:val="none"/>
              </w:rPr>
            </w:pPr>
            <w:r>
              <w:rPr>
                <w:rFonts w:hAnsi="宋体" w:cs="仿宋"/>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386EFA17">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5CF2C047">
            <w:pPr>
              <w:widowControl/>
              <w:jc w:val="center"/>
              <w:rPr>
                <w:rFonts w:hAnsi="宋体" w:cs="仿宋"/>
                <w:color w:val="auto"/>
                <w:sz w:val="21"/>
                <w:szCs w:val="21"/>
                <w:highlight w:val="none"/>
              </w:rPr>
            </w:pPr>
            <w:r>
              <w:rPr>
                <w:rFonts w:hAnsi="宋体" w:cs="仿宋"/>
                <w:color w:val="auto"/>
                <w:sz w:val="21"/>
                <w:szCs w:val="21"/>
                <w:highlight w:val="none"/>
              </w:rPr>
              <w:t>　</w:t>
            </w:r>
          </w:p>
        </w:tc>
        <w:tc>
          <w:tcPr>
            <w:tcW w:w="1104" w:type="dxa"/>
            <w:gridSpan w:val="2"/>
            <w:tcBorders>
              <w:top w:val="nil"/>
              <w:left w:val="nil"/>
              <w:bottom w:val="single" w:color="auto" w:sz="4" w:space="0"/>
              <w:right w:val="single" w:color="auto" w:sz="4" w:space="0"/>
            </w:tcBorders>
            <w:noWrap/>
            <w:vAlign w:val="center"/>
          </w:tcPr>
          <w:p w14:paraId="676E1942">
            <w:pPr>
              <w:widowControl/>
              <w:jc w:val="left"/>
              <w:rPr>
                <w:rFonts w:hAnsi="宋体" w:cs="仿宋"/>
                <w:color w:val="auto"/>
                <w:sz w:val="21"/>
                <w:szCs w:val="21"/>
                <w:highlight w:val="none"/>
              </w:rPr>
            </w:pPr>
            <w:r>
              <w:rPr>
                <w:rFonts w:hAnsi="宋体" w:cs="仿宋"/>
                <w:color w:val="auto"/>
                <w:sz w:val="21"/>
                <w:szCs w:val="21"/>
                <w:highlight w:val="none"/>
              </w:rPr>
              <w:t>　</w:t>
            </w:r>
          </w:p>
        </w:tc>
        <w:tc>
          <w:tcPr>
            <w:tcW w:w="1164" w:type="dxa"/>
            <w:gridSpan w:val="2"/>
            <w:tcBorders>
              <w:top w:val="nil"/>
              <w:left w:val="nil"/>
              <w:bottom w:val="single" w:color="auto" w:sz="4" w:space="0"/>
              <w:right w:val="single" w:color="auto" w:sz="4" w:space="0"/>
            </w:tcBorders>
            <w:noWrap/>
            <w:vAlign w:val="center"/>
          </w:tcPr>
          <w:p w14:paraId="27C83126">
            <w:pPr>
              <w:widowControl/>
              <w:jc w:val="left"/>
              <w:rPr>
                <w:rFonts w:hAnsi="宋体" w:cs="仿宋"/>
                <w:color w:val="auto"/>
                <w:sz w:val="21"/>
                <w:szCs w:val="21"/>
                <w:highlight w:val="none"/>
              </w:rPr>
            </w:pPr>
            <w:r>
              <w:rPr>
                <w:rFonts w:hAnsi="宋体" w:cs="仿宋"/>
                <w:color w:val="auto"/>
                <w:sz w:val="21"/>
                <w:szCs w:val="21"/>
                <w:highlight w:val="none"/>
              </w:rPr>
              <w:t>　</w:t>
            </w:r>
          </w:p>
        </w:tc>
        <w:tc>
          <w:tcPr>
            <w:tcW w:w="1116" w:type="dxa"/>
            <w:gridSpan w:val="2"/>
            <w:tcBorders>
              <w:top w:val="nil"/>
              <w:left w:val="nil"/>
              <w:bottom w:val="single" w:color="auto" w:sz="4" w:space="0"/>
              <w:right w:val="single" w:color="auto" w:sz="4" w:space="0"/>
            </w:tcBorders>
            <w:noWrap/>
            <w:vAlign w:val="center"/>
          </w:tcPr>
          <w:p w14:paraId="3A74C62F">
            <w:pPr>
              <w:widowControl/>
              <w:jc w:val="left"/>
              <w:rPr>
                <w:rFonts w:hAnsi="宋体" w:cs="仿宋"/>
                <w:color w:val="auto"/>
                <w:sz w:val="21"/>
                <w:szCs w:val="21"/>
                <w:highlight w:val="none"/>
              </w:rPr>
            </w:pPr>
            <w:r>
              <w:rPr>
                <w:rFonts w:hAnsi="宋体" w:cs="仿宋"/>
                <w:color w:val="auto"/>
                <w:sz w:val="21"/>
                <w:szCs w:val="21"/>
                <w:highlight w:val="none"/>
              </w:rPr>
              <w:t>　</w:t>
            </w:r>
          </w:p>
        </w:tc>
        <w:tc>
          <w:tcPr>
            <w:tcW w:w="1212" w:type="dxa"/>
            <w:gridSpan w:val="2"/>
            <w:tcBorders>
              <w:top w:val="nil"/>
              <w:left w:val="nil"/>
              <w:bottom w:val="single" w:color="auto" w:sz="4" w:space="0"/>
              <w:right w:val="single" w:color="auto" w:sz="4" w:space="0"/>
            </w:tcBorders>
            <w:noWrap/>
            <w:vAlign w:val="center"/>
          </w:tcPr>
          <w:p w14:paraId="5934504F">
            <w:pPr>
              <w:widowControl/>
              <w:jc w:val="left"/>
              <w:rPr>
                <w:rFonts w:hAnsi="宋体" w:cs="仿宋"/>
                <w:color w:val="auto"/>
                <w:sz w:val="21"/>
                <w:szCs w:val="21"/>
                <w:highlight w:val="none"/>
              </w:rPr>
            </w:pPr>
            <w:r>
              <w:rPr>
                <w:rFonts w:hAnsi="宋体" w:cs="仿宋"/>
                <w:color w:val="auto"/>
                <w:sz w:val="21"/>
                <w:szCs w:val="21"/>
                <w:highlight w:val="none"/>
              </w:rPr>
              <w:t>　</w:t>
            </w:r>
          </w:p>
        </w:tc>
        <w:tc>
          <w:tcPr>
            <w:tcW w:w="1070" w:type="dxa"/>
            <w:gridSpan w:val="2"/>
            <w:tcBorders>
              <w:top w:val="nil"/>
              <w:left w:val="nil"/>
              <w:bottom w:val="single" w:color="auto" w:sz="4" w:space="0"/>
              <w:right w:val="single" w:color="auto" w:sz="4" w:space="0"/>
            </w:tcBorders>
            <w:noWrap/>
            <w:vAlign w:val="center"/>
          </w:tcPr>
          <w:p w14:paraId="4017981B">
            <w:pPr>
              <w:widowControl/>
              <w:jc w:val="left"/>
              <w:rPr>
                <w:rFonts w:hAnsi="宋体" w:cs="仿宋"/>
                <w:color w:val="auto"/>
                <w:sz w:val="21"/>
                <w:szCs w:val="21"/>
                <w:highlight w:val="none"/>
              </w:rPr>
            </w:pPr>
            <w:r>
              <w:rPr>
                <w:rFonts w:hAnsi="宋体" w:cs="仿宋"/>
                <w:color w:val="auto"/>
                <w:sz w:val="21"/>
                <w:szCs w:val="21"/>
                <w:highlight w:val="none"/>
              </w:rPr>
              <w:t>　</w:t>
            </w:r>
          </w:p>
        </w:tc>
        <w:tc>
          <w:tcPr>
            <w:tcW w:w="1126" w:type="dxa"/>
            <w:gridSpan w:val="2"/>
            <w:tcBorders>
              <w:top w:val="nil"/>
              <w:left w:val="nil"/>
              <w:bottom w:val="single" w:color="auto" w:sz="4" w:space="0"/>
              <w:right w:val="single" w:color="auto" w:sz="4" w:space="0"/>
            </w:tcBorders>
            <w:noWrap/>
            <w:vAlign w:val="center"/>
          </w:tcPr>
          <w:p w14:paraId="7200B3AF">
            <w:pPr>
              <w:widowControl/>
              <w:jc w:val="left"/>
              <w:rPr>
                <w:rFonts w:hAnsi="宋体" w:cs="仿宋"/>
                <w:color w:val="auto"/>
                <w:sz w:val="21"/>
                <w:szCs w:val="21"/>
                <w:highlight w:val="none"/>
              </w:rPr>
            </w:pPr>
            <w:r>
              <w:rPr>
                <w:rFonts w:hAnsi="宋体" w:cs="仿宋"/>
                <w:color w:val="auto"/>
                <w:sz w:val="21"/>
                <w:szCs w:val="21"/>
                <w:highlight w:val="none"/>
              </w:rPr>
              <w:t>　</w:t>
            </w:r>
          </w:p>
        </w:tc>
      </w:tr>
      <w:tr w14:paraId="54666977">
        <w:tblPrEx>
          <w:tblCellMar>
            <w:top w:w="0" w:type="dxa"/>
            <w:left w:w="108" w:type="dxa"/>
            <w:bottom w:w="0" w:type="dxa"/>
            <w:right w:w="108" w:type="dxa"/>
          </w:tblCellMar>
        </w:tblPrEx>
        <w:trPr>
          <w:gridAfter w:val="1"/>
          <w:wAfter w:w="14" w:type="dxa"/>
          <w:trHeight w:val="390" w:hRule="atLeast"/>
          <w:jc w:val="center"/>
        </w:trPr>
        <w:tc>
          <w:tcPr>
            <w:tcW w:w="2246" w:type="dxa"/>
            <w:gridSpan w:val="2"/>
            <w:tcBorders>
              <w:top w:val="single" w:color="auto" w:sz="4" w:space="0"/>
              <w:left w:val="single" w:color="auto" w:sz="4" w:space="0"/>
              <w:bottom w:val="single" w:color="auto" w:sz="4" w:space="0"/>
              <w:right w:val="single" w:color="000000" w:sz="4" w:space="0"/>
            </w:tcBorders>
            <w:noWrap w:val="0"/>
            <w:vAlign w:val="center"/>
          </w:tcPr>
          <w:p w14:paraId="258ED601">
            <w:pPr>
              <w:widowControl/>
              <w:jc w:val="center"/>
              <w:rPr>
                <w:rFonts w:hAnsi="宋体" w:cs="仿宋"/>
                <w:b/>
                <w:bCs/>
                <w:color w:val="auto"/>
                <w:sz w:val="21"/>
                <w:szCs w:val="21"/>
                <w:highlight w:val="none"/>
              </w:rPr>
            </w:pPr>
            <w:r>
              <w:rPr>
                <w:rFonts w:hAnsi="宋体" w:cs="仿宋"/>
                <w:b/>
                <w:bCs/>
                <w:color w:val="auto"/>
                <w:sz w:val="21"/>
                <w:szCs w:val="21"/>
                <w:highlight w:val="none"/>
              </w:rPr>
              <w:t>合计</w:t>
            </w:r>
          </w:p>
        </w:tc>
        <w:tc>
          <w:tcPr>
            <w:tcW w:w="969" w:type="dxa"/>
            <w:tcBorders>
              <w:top w:val="nil"/>
              <w:left w:val="nil"/>
              <w:bottom w:val="single" w:color="auto" w:sz="4" w:space="0"/>
              <w:right w:val="single" w:color="auto" w:sz="4" w:space="0"/>
            </w:tcBorders>
            <w:noWrap w:val="0"/>
            <w:vAlign w:val="center"/>
          </w:tcPr>
          <w:p w14:paraId="6F2D1F67">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110" w:type="dxa"/>
            <w:tcBorders>
              <w:top w:val="nil"/>
              <w:left w:val="nil"/>
              <w:bottom w:val="single" w:color="auto" w:sz="4" w:space="0"/>
              <w:right w:val="single" w:color="auto" w:sz="4" w:space="0"/>
            </w:tcBorders>
            <w:noWrap w:val="0"/>
            <w:vAlign w:val="center"/>
          </w:tcPr>
          <w:p w14:paraId="144AAA1A">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042708EA">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056" w:type="dxa"/>
            <w:gridSpan w:val="2"/>
            <w:tcBorders>
              <w:top w:val="nil"/>
              <w:left w:val="nil"/>
              <w:bottom w:val="single" w:color="auto" w:sz="4" w:space="0"/>
              <w:right w:val="single" w:color="auto" w:sz="4" w:space="0"/>
            </w:tcBorders>
            <w:noWrap w:val="0"/>
            <w:vAlign w:val="center"/>
          </w:tcPr>
          <w:p w14:paraId="078C4AC4">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200" w:type="dxa"/>
            <w:gridSpan w:val="2"/>
            <w:tcBorders>
              <w:top w:val="nil"/>
              <w:left w:val="nil"/>
              <w:bottom w:val="single" w:color="auto" w:sz="4" w:space="0"/>
              <w:right w:val="single" w:color="auto" w:sz="4" w:space="0"/>
            </w:tcBorders>
            <w:noWrap w:val="0"/>
            <w:vAlign w:val="center"/>
          </w:tcPr>
          <w:p w14:paraId="1822A209">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518F95F1">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104" w:type="dxa"/>
            <w:gridSpan w:val="2"/>
            <w:tcBorders>
              <w:top w:val="nil"/>
              <w:left w:val="nil"/>
              <w:bottom w:val="single" w:color="auto" w:sz="4" w:space="0"/>
              <w:right w:val="single" w:color="auto" w:sz="4" w:space="0"/>
            </w:tcBorders>
            <w:noWrap w:val="0"/>
            <w:vAlign w:val="center"/>
          </w:tcPr>
          <w:p w14:paraId="1E022701">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164" w:type="dxa"/>
            <w:gridSpan w:val="2"/>
            <w:tcBorders>
              <w:top w:val="nil"/>
              <w:left w:val="nil"/>
              <w:bottom w:val="single" w:color="auto" w:sz="4" w:space="0"/>
              <w:right w:val="single" w:color="auto" w:sz="4" w:space="0"/>
            </w:tcBorders>
            <w:noWrap w:val="0"/>
            <w:vAlign w:val="center"/>
          </w:tcPr>
          <w:p w14:paraId="60DF646A">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116" w:type="dxa"/>
            <w:gridSpan w:val="2"/>
            <w:tcBorders>
              <w:top w:val="nil"/>
              <w:left w:val="nil"/>
              <w:bottom w:val="single" w:color="auto" w:sz="4" w:space="0"/>
              <w:right w:val="single" w:color="auto" w:sz="4" w:space="0"/>
            </w:tcBorders>
            <w:noWrap w:val="0"/>
            <w:vAlign w:val="center"/>
          </w:tcPr>
          <w:p w14:paraId="78E0F4D6">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212" w:type="dxa"/>
            <w:gridSpan w:val="2"/>
            <w:tcBorders>
              <w:top w:val="nil"/>
              <w:left w:val="nil"/>
              <w:bottom w:val="single" w:color="auto" w:sz="4" w:space="0"/>
              <w:right w:val="single" w:color="auto" w:sz="4" w:space="0"/>
            </w:tcBorders>
            <w:noWrap w:val="0"/>
            <w:vAlign w:val="center"/>
          </w:tcPr>
          <w:p w14:paraId="320AE847">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070" w:type="dxa"/>
            <w:gridSpan w:val="2"/>
            <w:tcBorders>
              <w:top w:val="nil"/>
              <w:left w:val="nil"/>
              <w:bottom w:val="single" w:color="auto" w:sz="4" w:space="0"/>
              <w:right w:val="single" w:color="auto" w:sz="4" w:space="0"/>
            </w:tcBorders>
            <w:noWrap w:val="0"/>
            <w:vAlign w:val="center"/>
          </w:tcPr>
          <w:p w14:paraId="715A6E59">
            <w:pPr>
              <w:widowControl/>
              <w:jc w:val="left"/>
              <w:rPr>
                <w:rFonts w:hAnsi="宋体" w:cs="仿宋"/>
                <w:b/>
                <w:bCs/>
                <w:color w:val="auto"/>
                <w:sz w:val="21"/>
                <w:szCs w:val="21"/>
                <w:highlight w:val="none"/>
              </w:rPr>
            </w:pPr>
            <w:r>
              <w:rPr>
                <w:rFonts w:hAnsi="宋体" w:cs="仿宋"/>
                <w:b/>
                <w:bCs/>
                <w:color w:val="auto"/>
                <w:sz w:val="21"/>
                <w:szCs w:val="21"/>
                <w:highlight w:val="none"/>
              </w:rPr>
              <w:t>　</w:t>
            </w:r>
          </w:p>
        </w:tc>
        <w:tc>
          <w:tcPr>
            <w:tcW w:w="1126" w:type="dxa"/>
            <w:gridSpan w:val="2"/>
            <w:tcBorders>
              <w:top w:val="nil"/>
              <w:left w:val="nil"/>
              <w:bottom w:val="single" w:color="auto" w:sz="4" w:space="0"/>
              <w:right w:val="single" w:color="auto" w:sz="4" w:space="0"/>
            </w:tcBorders>
            <w:noWrap w:val="0"/>
            <w:vAlign w:val="center"/>
          </w:tcPr>
          <w:p w14:paraId="6232737F">
            <w:pPr>
              <w:widowControl/>
              <w:jc w:val="left"/>
              <w:rPr>
                <w:rFonts w:hAnsi="宋体" w:cs="仿宋"/>
                <w:b/>
                <w:bCs/>
                <w:color w:val="auto"/>
                <w:sz w:val="21"/>
                <w:szCs w:val="21"/>
                <w:highlight w:val="none"/>
              </w:rPr>
            </w:pPr>
            <w:r>
              <w:rPr>
                <w:rFonts w:hAnsi="宋体" w:cs="仿宋"/>
                <w:b/>
                <w:bCs/>
                <w:color w:val="auto"/>
                <w:sz w:val="21"/>
                <w:szCs w:val="21"/>
                <w:highlight w:val="none"/>
              </w:rPr>
              <w:t>　</w:t>
            </w:r>
          </w:p>
        </w:tc>
      </w:tr>
      <w:tr w14:paraId="21851DE4">
        <w:tblPrEx>
          <w:tblCellMar>
            <w:top w:w="0" w:type="dxa"/>
            <w:left w:w="108" w:type="dxa"/>
            <w:bottom w:w="0" w:type="dxa"/>
            <w:right w:w="108" w:type="dxa"/>
          </w:tblCellMar>
        </w:tblPrEx>
        <w:trPr>
          <w:gridAfter w:val="1"/>
          <w:wAfter w:w="14" w:type="dxa"/>
          <w:trHeight w:val="390" w:hRule="atLeast"/>
          <w:jc w:val="center"/>
        </w:trPr>
        <w:tc>
          <w:tcPr>
            <w:tcW w:w="15641" w:type="dxa"/>
            <w:gridSpan w:val="24"/>
            <w:tcBorders>
              <w:top w:val="single" w:color="auto" w:sz="4" w:space="0"/>
              <w:left w:val="nil"/>
              <w:bottom w:val="nil"/>
              <w:right w:val="nil"/>
            </w:tcBorders>
            <w:noWrap w:val="0"/>
            <w:vAlign w:val="center"/>
          </w:tcPr>
          <w:p w14:paraId="42C6A146">
            <w:pPr>
              <w:widowControl/>
              <w:jc w:val="left"/>
              <w:rPr>
                <w:rFonts w:hAnsi="宋体" w:cs="仿宋"/>
                <w:color w:val="auto"/>
                <w:sz w:val="21"/>
                <w:szCs w:val="21"/>
                <w:highlight w:val="none"/>
              </w:rPr>
            </w:pPr>
            <w:r>
              <w:rPr>
                <w:rFonts w:hAnsi="宋体" w:cs="仿宋"/>
                <w:color w:val="auto"/>
                <w:sz w:val="21"/>
                <w:szCs w:val="21"/>
                <w:highlight w:val="none"/>
              </w:rPr>
              <w:t>说明：1、本月度结算单只作为采购合同月度计量支付使用；2、计量周期内除上述双方确认的供应量外，其他一切供应甲方概不负责；3、最终结算以双方办理的结算确认表为准。</w:t>
            </w:r>
          </w:p>
        </w:tc>
      </w:tr>
      <w:tr w14:paraId="2F082C6A">
        <w:tblPrEx>
          <w:tblCellMar>
            <w:top w:w="0" w:type="dxa"/>
            <w:left w:w="108" w:type="dxa"/>
            <w:bottom w:w="0" w:type="dxa"/>
            <w:right w:w="108" w:type="dxa"/>
          </w:tblCellMar>
        </w:tblPrEx>
        <w:trPr>
          <w:gridAfter w:val="1"/>
          <w:wAfter w:w="14" w:type="dxa"/>
          <w:trHeight w:val="709" w:hRule="atLeast"/>
          <w:jc w:val="center"/>
        </w:trPr>
        <w:tc>
          <w:tcPr>
            <w:tcW w:w="15641" w:type="dxa"/>
            <w:gridSpan w:val="24"/>
            <w:tcBorders>
              <w:top w:val="nil"/>
              <w:left w:val="nil"/>
              <w:bottom w:val="nil"/>
              <w:right w:val="nil"/>
            </w:tcBorders>
            <w:noWrap w:val="0"/>
            <w:vAlign w:val="center"/>
          </w:tcPr>
          <w:p w14:paraId="29D2C886">
            <w:pPr>
              <w:widowControl/>
              <w:jc w:val="left"/>
              <w:rPr>
                <w:rFonts w:hint="default" w:hAnsi="宋体" w:eastAsia="宋体" w:cs="仿宋"/>
                <w:color w:val="auto"/>
                <w:sz w:val="21"/>
                <w:szCs w:val="21"/>
                <w:highlight w:val="none"/>
                <w:lang w:val="en-US" w:eastAsia="zh-CN"/>
              </w:rPr>
            </w:pPr>
            <w:r>
              <w:rPr>
                <w:rFonts w:hAnsi="宋体" w:cs="仿宋"/>
                <w:color w:val="auto"/>
                <w:sz w:val="21"/>
                <w:szCs w:val="21"/>
                <w:highlight w:val="none"/>
              </w:rPr>
              <w:t xml:space="preserve">供应商负责人：               </w:t>
            </w:r>
            <w:r>
              <w:rPr>
                <w:rFonts w:hint="eastAsia" w:hAnsi="宋体" w:cs="仿宋"/>
                <w:color w:val="auto"/>
                <w:sz w:val="21"/>
                <w:szCs w:val="21"/>
                <w:highlight w:val="none"/>
                <w:lang w:val="en-US" w:eastAsia="zh-CN"/>
              </w:rPr>
              <w:t xml:space="preserve">                                                                                     </w:t>
            </w:r>
            <w:r>
              <w:rPr>
                <w:rFonts w:hAnsi="宋体" w:cs="仿宋"/>
                <w:color w:val="auto"/>
                <w:sz w:val="21"/>
                <w:szCs w:val="21"/>
                <w:highlight w:val="none"/>
              </w:rPr>
              <w:t xml:space="preserve">  </w:t>
            </w:r>
            <w:r>
              <w:rPr>
                <w:rFonts w:hint="eastAsia" w:hAnsi="宋体" w:cs="仿宋"/>
                <w:color w:val="auto"/>
                <w:sz w:val="21"/>
                <w:szCs w:val="21"/>
                <w:highlight w:val="none"/>
                <w:lang w:val="en-US" w:eastAsia="zh-CN"/>
              </w:rPr>
              <w:t>收货方负责人：</w:t>
            </w:r>
          </w:p>
          <w:p w14:paraId="40244E57">
            <w:pPr>
              <w:widowControl/>
              <w:jc w:val="left"/>
              <w:rPr>
                <w:rFonts w:hAnsi="宋体" w:cs="仿宋"/>
                <w:color w:val="auto"/>
                <w:sz w:val="21"/>
                <w:szCs w:val="21"/>
                <w:highlight w:val="none"/>
              </w:rPr>
            </w:pPr>
          </w:p>
        </w:tc>
      </w:tr>
    </w:tbl>
    <w:p w14:paraId="4D80E027"/>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公文小标宋">
    <w:altName w:val="宋体"/>
    <w:panose1 w:val="02000500000000000000"/>
    <w:charset w:val="86"/>
    <w:family w:val="auto"/>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F0D56">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C5DA2">
                          <w:pPr>
                            <w:pStyle w:val="10"/>
                          </w:pPr>
                          <w:r>
                            <w:t xml:space="preserve">— </w:t>
                          </w:r>
                          <w:r>
                            <w:fldChar w:fldCharType="begin"/>
                          </w:r>
                          <w:r>
                            <w:instrText xml:space="preserve"> PAGE  \* MERGEFORMAT </w:instrText>
                          </w:r>
                          <w:r>
                            <w:fldChar w:fldCharType="separate"/>
                          </w:r>
                          <w:r>
                            <w:t>11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89C5DA2">
                    <w:pPr>
                      <w:pStyle w:val="10"/>
                    </w:pPr>
                    <w:r>
                      <w:t xml:space="preserve">— </w:t>
                    </w:r>
                    <w:r>
                      <w:fldChar w:fldCharType="begin"/>
                    </w:r>
                    <w:r>
                      <w:instrText xml:space="preserve"> PAGE  \* MERGEFORMAT </w:instrText>
                    </w:r>
                    <w:r>
                      <w:fldChar w:fldCharType="separate"/>
                    </w:r>
                    <w:r>
                      <w:t>11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B2A639"/>
    <w:multiLevelType w:val="singleLevel"/>
    <w:tmpl w:val="A9B2A639"/>
    <w:lvl w:ilvl="0" w:tentative="0">
      <w:start w:val="1"/>
      <w:numFmt w:val="chineseCounting"/>
      <w:suff w:val="nothing"/>
      <w:lvlText w:val="%1、"/>
      <w:lvlJc w:val="left"/>
      <w:rPr>
        <w:rFonts w:hint="eastAsia"/>
      </w:rPr>
    </w:lvl>
  </w:abstractNum>
  <w:abstractNum w:abstractNumId="1">
    <w:nsid w:val="644B56F3"/>
    <w:multiLevelType w:val="multilevel"/>
    <w:tmpl w:val="644B56F3"/>
    <w:lvl w:ilvl="0" w:tentative="0">
      <w:start w:val="1"/>
      <w:numFmt w:val="decimal"/>
      <w:pStyle w:val="3"/>
      <w:lvlText w:val="%1、"/>
      <w:lvlJc w:val="left"/>
      <w:pPr>
        <w:tabs>
          <w:tab w:val="left" w:pos="780"/>
        </w:tabs>
        <w:ind w:left="1420" w:hanging="360"/>
      </w:pPr>
      <w:rPr>
        <w:rFonts w:hint="default"/>
      </w:rPr>
    </w:lvl>
    <w:lvl w:ilvl="1" w:tentative="0">
      <w:start w:val="8"/>
      <w:numFmt w:val="japaneseCounting"/>
      <w:lvlText w:val="%2、"/>
      <w:lvlJc w:val="left"/>
      <w:pPr>
        <w:tabs>
          <w:tab w:val="left" w:pos="1260"/>
        </w:tabs>
        <w:ind w:left="1260" w:hanging="42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D455B3"/>
    <w:rsid w:val="0CC223B8"/>
    <w:rsid w:val="12D455B3"/>
    <w:rsid w:val="1C8C781D"/>
    <w:rsid w:val="24A6105A"/>
    <w:rsid w:val="3BF66C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99"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numPr>
        <w:ilvl w:val="0"/>
        <w:numId w:val="1"/>
      </w:numPr>
      <w:snapToGrid w:val="0"/>
      <w:spacing w:line="480" w:lineRule="exact"/>
      <w:ind w:left="0" w:firstLine="200" w:firstLineChars="200"/>
      <w:outlineLvl w:val="0"/>
    </w:pPr>
    <w:rPr>
      <w:rFonts w:ascii="Calibri" w:hAnsi="Calibri" w:eastAsia="黑体"/>
      <w:bCs/>
      <w:kern w:val="44"/>
      <w:sz w:val="24"/>
      <w:szCs w:val="44"/>
    </w:rPr>
  </w:style>
  <w:style w:type="paragraph" w:styleId="2">
    <w:name w:val="heading 4"/>
    <w:basedOn w:val="1"/>
    <w:next w:val="1"/>
    <w:qFormat/>
    <w:uiPriority w:val="0"/>
    <w:pPr>
      <w:keepNext/>
      <w:keepLines/>
      <w:adjustRightInd w:val="0"/>
      <w:spacing w:before="280" w:after="290" w:line="376" w:lineRule="atLeast"/>
      <w:textAlignment w:val="baseline"/>
      <w:outlineLvl w:val="3"/>
    </w:pPr>
    <w:rPr>
      <w:rFonts w:ascii="Arial" w:hAnsi="Arial" w:eastAsia="黑体" w:cs="Times New Roman"/>
      <w:b/>
      <w:bCs/>
      <w:kern w:val="0"/>
      <w:sz w:val="28"/>
      <w:szCs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360" w:lineRule="auto"/>
    </w:pPr>
    <w:rPr>
      <w:rFonts w:ascii="宋体" w:hAnsi="宋体"/>
      <w:sz w:val="24"/>
      <w:szCs w:val="20"/>
    </w:rPr>
  </w:style>
  <w:style w:type="paragraph" w:styleId="5">
    <w:name w:val="Salutation"/>
    <w:basedOn w:val="1"/>
    <w:next w:val="1"/>
    <w:qFormat/>
    <w:uiPriority w:val="99"/>
  </w:style>
  <w:style w:type="paragraph" w:styleId="6">
    <w:name w:val="Body Text"/>
    <w:basedOn w:val="1"/>
    <w:next w:val="7"/>
    <w:unhideWhenUsed/>
    <w:qFormat/>
    <w:uiPriority w:val="99"/>
    <w:pPr>
      <w:spacing w:after="120"/>
    </w:pPr>
  </w:style>
  <w:style w:type="paragraph" w:styleId="7">
    <w:name w:val="Subtitle"/>
    <w:basedOn w:val="1"/>
    <w:next w:val="1"/>
    <w:qFormat/>
    <w:uiPriority w:val="0"/>
    <w:pPr>
      <w:spacing w:line="360" w:lineRule="auto"/>
      <w:jc w:val="center"/>
      <w:outlineLvl w:val="1"/>
    </w:pPr>
    <w:rPr>
      <w:rFonts w:ascii="Cambria" w:hAnsi="Cambria"/>
      <w:b/>
      <w:bCs/>
      <w:kern w:val="28"/>
      <w:sz w:val="32"/>
      <w:szCs w:val="32"/>
    </w:rPr>
  </w:style>
  <w:style w:type="paragraph" w:styleId="8">
    <w:name w:val="Body Text Indent"/>
    <w:basedOn w:val="1"/>
    <w:qFormat/>
    <w:uiPriority w:val="99"/>
    <w:pPr>
      <w:spacing w:after="120"/>
      <w:ind w:left="420" w:leftChars="200"/>
    </w:pPr>
  </w:style>
  <w:style w:type="paragraph" w:styleId="9">
    <w:name w:val="Plain Text"/>
    <w:basedOn w:val="1"/>
    <w:qFormat/>
    <w:uiPriority w:val="0"/>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Body Text First Indent 2"/>
    <w:basedOn w:val="8"/>
    <w:qFormat/>
    <w:uiPriority w:val="99"/>
    <w:pPr>
      <w:ind w:firstLine="420" w:firstLineChars="200"/>
    </w:pPr>
    <w:rPr>
      <w:rFonts w:ascii="Times New Roman" w:hAnsi="Times New Roman"/>
      <w:szCs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lain Text_e3050b90-e95b-4bef-9320-44ef2f6c0db1"/>
    <w:basedOn w:val="1"/>
    <w:autoRedefine/>
    <w:qFormat/>
    <w:uiPriority w:val="0"/>
    <w:rPr>
      <w:rFonts w:ascii="宋体" w:hAnsi="Courier New"/>
      <w:kern w:val="0"/>
      <w:sz w:val="20"/>
      <w:szCs w:val="24"/>
    </w:rPr>
  </w:style>
  <w:style w:type="character" w:customStyle="1" w:styleId="16">
    <w:name w:val="font51"/>
    <w:basedOn w:val="14"/>
    <w:qFormat/>
    <w:uiPriority w:val="0"/>
    <w:rPr>
      <w:rFonts w:hint="eastAsia" w:ascii="宋体" w:hAnsi="宋体" w:eastAsia="宋体" w:cs="宋体"/>
      <w:b/>
      <w:color w:val="000000"/>
      <w:sz w:val="22"/>
      <w:szCs w:val="22"/>
      <w:u w:val="none"/>
    </w:rPr>
  </w:style>
  <w:style w:type="character" w:customStyle="1" w:styleId="17">
    <w:name w:val="font111"/>
    <w:basedOn w:val="14"/>
    <w:qFormat/>
    <w:uiPriority w:val="0"/>
    <w:rPr>
      <w:rFonts w:hint="default" w:ascii="Times New Roman" w:hAnsi="Times New Roman" w:cs="Times New Roman"/>
      <w:color w:val="000000"/>
      <w:sz w:val="18"/>
      <w:szCs w:val="18"/>
      <w:u w:val="none"/>
    </w:rPr>
  </w:style>
  <w:style w:type="paragraph" w:customStyle="1" w:styleId="18">
    <w:name w:val="列出段落1"/>
    <w:basedOn w:val="1"/>
    <w:qFormat/>
    <w:uiPriority w:val="99"/>
    <w:pPr>
      <w:ind w:firstLine="420" w:firstLineChars="200"/>
    </w:pPr>
    <w:rPr>
      <w:rFonts w:ascii="Calibri" w:hAnsi="Calibri" w:cs="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1332</Words>
  <Characters>1490</Characters>
  <Lines>0</Lines>
  <Paragraphs>0</Paragraphs>
  <TotalTime>37</TotalTime>
  <ScaleCrop>false</ScaleCrop>
  <LinksUpToDate>false</LinksUpToDate>
  <CharactersWithSpaces>1525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2026-09-09T07:02:00Z</dcterms:created>
  <dc:creator>WPS_1530062022</dc:creator>
  <cp:lastModifiedBy>WPS_1530062022</cp:lastModifiedBy>
  <cp:lastPrinted>2026-09-11T02:56:00Z</cp:lastPrinted>
  <dcterms:modified xsi:type="dcterms:W3CDTF">2026-09-11T06:28:31Z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E04FA680940D4F16B649510A79729BA8_13</vt:lpwstr>
  </property>
  <property fmtid="{D5CDD505-2E9C-101B-9397-08002B2CF9AE}" pid="4" name="KSOTemplateDocerSaveRecord">
    <vt:lpwstr>eyJoZGlkIjoiMjYyN2Y1MWEyNmM2NzE2MDFhMjlmOWJmOGZhZjU0OTciLCJ1c2VySWQiOiIzODE1NTk2NzgifQ==</vt:lpwstr>
  </property>
</Properties>
</file>