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042329">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default" w:ascii="黑体" w:hAnsi="黑体" w:eastAsia="黑体" w:cs="黑体"/>
          <w:b/>
          <w:bCs/>
          <w:sz w:val="32"/>
          <w:szCs w:val="40"/>
          <w:highlight w:val="none"/>
          <w:lang w:val="en-US" w:eastAsia="zh-CN"/>
        </w:rPr>
      </w:pPr>
      <w:r>
        <w:rPr>
          <w:rFonts w:hint="eastAsia" w:ascii="黑体" w:hAnsi="黑体" w:eastAsia="黑体" w:cs="黑体"/>
          <w:b/>
          <w:bCs/>
          <w:sz w:val="32"/>
          <w:szCs w:val="40"/>
          <w:highlight w:val="none"/>
          <w:lang w:val="en-US" w:eastAsia="zh-CN"/>
        </w:rPr>
        <w:t>附件2：装卸作业服务采购需求</w:t>
      </w:r>
    </w:p>
    <w:tbl>
      <w:tblPr>
        <w:tblStyle w:val="2"/>
        <w:tblW w:w="509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75"/>
      </w:tblGrid>
      <w:tr w14:paraId="6B02E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tcBorders>
              <w:top w:val="nil"/>
              <w:left w:val="nil"/>
              <w:bottom w:val="nil"/>
              <w:right w:val="nil"/>
            </w:tcBorders>
            <w:shd w:val="clear" w:color="auto" w:fill="auto"/>
            <w:vAlign w:val="center"/>
          </w:tcPr>
          <w:tbl>
            <w:tblPr>
              <w:tblStyle w:val="2"/>
              <w:tblW w:w="89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8"/>
              <w:gridCol w:w="721"/>
              <w:gridCol w:w="4154"/>
              <w:gridCol w:w="813"/>
              <w:gridCol w:w="805"/>
              <w:gridCol w:w="1711"/>
            </w:tblGrid>
            <w:tr w14:paraId="15C7C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331FB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b/>
                      <w:bCs/>
                      <w:i w:val="0"/>
                      <w:iCs w:val="0"/>
                      <w:color w:val="000000"/>
                      <w:kern w:val="2"/>
                      <w:sz w:val="32"/>
                      <w:szCs w:val="32"/>
                      <w:u w:val="none"/>
                      <w:lang w:val="en-US" w:eastAsia="zh-CN" w:bidi="ar-SA"/>
                    </w:rPr>
                  </w:pPr>
                  <w:r>
                    <w:rPr>
                      <w:rFonts w:hint="eastAsia" w:ascii="方正小标宋简体" w:hAnsi="方正小标宋简体" w:eastAsia="方正小标宋简体" w:cs="方正小标宋简体"/>
                      <w:sz w:val="44"/>
                      <w:szCs w:val="44"/>
                      <w:highlight w:val="none"/>
                      <w:lang w:val="en-US" w:eastAsia="zh-CN"/>
                    </w:rPr>
                    <w:t>装卸作业服务采购需求</w:t>
                  </w:r>
                </w:p>
              </w:tc>
            </w:tr>
            <w:tr w14:paraId="6BA10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0057D4">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仿宋" w:hAnsi="仿宋" w:eastAsia="仿宋" w:cs="仿宋"/>
                      <w:i w:val="0"/>
                      <w:iCs w:val="0"/>
                      <w:color w:val="000000"/>
                      <w:kern w:val="0"/>
                      <w:sz w:val="24"/>
                      <w:szCs w:val="24"/>
                      <w:u w:val="none"/>
                      <w:lang w:val="en-US" w:eastAsia="zh-CN" w:bidi="ar"/>
                    </w:rPr>
                    <w:t>项目名称：夹江县润泽商贸有限公司粮食及物资仓储中心第三方购买服务</w:t>
                  </w:r>
                </w:p>
              </w:tc>
            </w:tr>
            <w:tr w14:paraId="7B2E2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86F9D">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A63FE">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服务名称</w:t>
                  </w:r>
                </w:p>
              </w:tc>
              <w:tc>
                <w:tcPr>
                  <w:tcW w:w="2327" w:type="pct"/>
                  <w:tcBorders>
                    <w:top w:val="single" w:color="000000" w:sz="4" w:space="0"/>
                    <w:left w:val="single" w:color="000000" w:sz="4" w:space="0"/>
                    <w:bottom w:val="single" w:color="auto" w:sz="4" w:space="0"/>
                    <w:right w:val="single" w:color="000000" w:sz="4" w:space="0"/>
                  </w:tcBorders>
                  <w:shd w:val="clear" w:color="auto" w:fill="auto"/>
                  <w:vAlign w:val="center"/>
                </w:tcPr>
                <w:p w14:paraId="0B935FA5">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服务要求</w:t>
                  </w:r>
                </w:p>
              </w:tc>
              <w:tc>
                <w:tcPr>
                  <w:tcW w:w="455" w:type="pct"/>
                  <w:tcBorders>
                    <w:top w:val="single" w:color="000000" w:sz="4" w:space="0"/>
                    <w:left w:val="single" w:color="000000" w:sz="4" w:space="0"/>
                    <w:bottom w:val="single" w:color="auto" w:sz="4" w:space="0"/>
                    <w:right w:val="single" w:color="000000" w:sz="4" w:space="0"/>
                  </w:tcBorders>
                  <w:shd w:val="clear" w:color="auto" w:fill="auto"/>
                  <w:vAlign w:val="center"/>
                </w:tcPr>
                <w:p w14:paraId="255F2668">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451" w:type="pct"/>
                  <w:tcBorders>
                    <w:top w:val="single" w:color="000000" w:sz="4" w:space="0"/>
                    <w:left w:val="single" w:color="000000" w:sz="4" w:space="0"/>
                    <w:bottom w:val="single" w:color="auto" w:sz="4" w:space="0"/>
                    <w:right w:val="single" w:color="000000" w:sz="4" w:space="0"/>
                  </w:tcBorders>
                  <w:shd w:val="clear" w:color="auto" w:fill="auto"/>
                  <w:vAlign w:val="center"/>
                </w:tcPr>
                <w:p w14:paraId="38DDA87B">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单价</w:t>
                  </w:r>
                </w:p>
              </w:tc>
              <w:tc>
                <w:tcPr>
                  <w:tcW w:w="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A4FD7">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备注</w:t>
                  </w:r>
                </w:p>
              </w:tc>
            </w:tr>
            <w:tr w14:paraId="29FA8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02" w:type="pct"/>
                  <w:vMerge w:val="restart"/>
                  <w:tcBorders>
                    <w:top w:val="nil"/>
                    <w:left w:val="single" w:color="000000" w:sz="4" w:space="0"/>
                    <w:bottom w:val="single" w:color="000000" w:sz="4" w:space="0"/>
                    <w:right w:val="single" w:color="000000" w:sz="4" w:space="0"/>
                  </w:tcBorders>
                  <w:shd w:val="clear" w:color="auto" w:fill="auto"/>
                  <w:vAlign w:val="center"/>
                </w:tcPr>
                <w:p w14:paraId="0FCD3C5B">
                  <w:pPr>
                    <w:keepNext w:val="0"/>
                    <w:keepLines w:val="0"/>
                    <w:widowControl/>
                    <w:suppressLineNumbers w:val="0"/>
                    <w:snapToGrid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404" w:type="pct"/>
                  <w:vMerge w:val="restart"/>
                  <w:tcBorders>
                    <w:top w:val="nil"/>
                    <w:left w:val="single" w:color="000000" w:sz="4" w:space="0"/>
                    <w:bottom w:val="single" w:color="000000" w:sz="4" w:space="0"/>
                    <w:right w:val="single" w:color="000000" w:sz="4" w:space="0"/>
                  </w:tcBorders>
                  <w:shd w:val="clear" w:color="auto" w:fill="auto"/>
                  <w:vAlign w:val="center"/>
                </w:tcPr>
                <w:p w14:paraId="2178038D">
                  <w:pPr>
                    <w:keepNext w:val="0"/>
                    <w:keepLines w:val="0"/>
                    <w:widowControl/>
                    <w:suppressLineNumbers w:val="0"/>
                    <w:snapToGrid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装卸作业服务进仓</w:t>
                  </w:r>
                </w:p>
              </w:tc>
              <w:tc>
                <w:tcPr>
                  <w:tcW w:w="2327" w:type="pct"/>
                  <w:vMerge w:val="restart"/>
                  <w:tcBorders>
                    <w:top w:val="single" w:color="auto" w:sz="4" w:space="0"/>
                    <w:left w:val="nil"/>
                    <w:bottom w:val="single" w:color="auto" w:sz="4" w:space="0"/>
                    <w:right w:val="nil"/>
                  </w:tcBorders>
                  <w:shd w:val="clear" w:color="auto" w:fill="auto"/>
                  <w:vAlign w:val="top"/>
                </w:tcPr>
                <w:p w14:paraId="6A30AF52">
                  <w:pPr>
                    <w:keepNext w:val="0"/>
                    <w:keepLines w:val="0"/>
                    <w:widowControl/>
                    <w:numPr>
                      <w:ilvl w:val="0"/>
                      <w:numId w:val="1"/>
                    </w:numPr>
                    <w:suppressLineNumbers w:val="0"/>
                    <w:snapToGrid w:val="0"/>
                    <w:jc w:val="left"/>
                    <w:textAlignment w:val="top"/>
                    <w:rPr>
                      <w:rFonts w:hint="eastAsia" w:ascii="仿宋" w:hAnsi="仿宋" w:eastAsia="仿宋" w:cs="仿宋"/>
                      <w:i w:val="0"/>
                      <w:iCs w:val="0"/>
                      <w:color w:val="000000"/>
                      <w:sz w:val="22"/>
                      <w:szCs w:val="22"/>
                      <w:u w:val="none"/>
                    </w:rPr>
                  </w:pPr>
                  <w:r>
                    <w:rPr>
                      <w:rStyle w:val="4"/>
                      <w:rFonts w:hint="eastAsia" w:ascii="仿宋" w:hAnsi="仿宋" w:eastAsia="仿宋" w:cs="仿宋"/>
                      <w:sz w:val="24"/>
                      <w:szCs w:val="24"/>
                      <w:lang w:val="en-US" w:eastAsia="zh-CN" w:bidi="ar"/>
                    </w:rPr>
                    <w:t>业务概况</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（一）项目名称：夹江县粮食及物资仓储项目全流程装卸作业外协服务；</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（二）服务内容：粮食入库作业服务及现场管理、粮食装卸、倒仓转运业务，具体如下：</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1.散粮卸车，仓内摊粮、平整粮面，配合粮机设备移动、对位，粮仓仓内布料、平铺作业；</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2.库内不同仓房之间粮食转运、轮换倒仓、分仓整理装卸；</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3.作业区域散落粮食回收、场地清扫保洁；</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4.装卸设备辅助移位摆放；</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5.落实现场安全防护、车辆疏导，防止粮食混样、抛洒污染，配合库方完成进仓轮换相关装卸服务工作。</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二、人员要求</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（一）资质要求：须持有有效健康证，无犯罪记录。</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（二）保险要求：乙方须为装卸人员购买工伤保险或意外伤害险或保额不低于50万元的雇主责任险，并将保单复印件交甲方备案。</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三、责任界定</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（一）货损赔付：装卸过程中的货物破损、丢失由乙方全权负责，按甲方当期同品类采购结算价全额赔付。</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（二）安全责任：装卸人员的人身安全事故（含安全事故、装卸扭伤等）均由乙方自行承担，与甲方无关。</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（三）服从指挥：装卸人员须绝对服从甲方人员的现场调度指挥，不得干扰驾驶员行车安全。</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四、计价与结算</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（一）计价标准：</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进仓按不高于9.52元/吨（含税）执行。该单价包含但不限于人工费、保险费、管理费、利润、税金及装卸损耗风险费。</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（二）计量规则：</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每月依据地磅真实称重台账核算当月各类作业实际完成吨位结算。</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（三）结算方式：</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按月结算。每月5日前，甲乙双方核对上月实际装卸总吨位，乙方开具等额增值税专用发票后，甲方于10个工作日内支付款项。</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五、考核与退出</w:t>
                  </w:r>
                  <w:r>
                    <w:rPr>
                      <w:rStyle w:val="5"/>
                      <w:rFonts w:hint="eastAsia" w:ascii="仿宋" w:hAnsi="仿宋" w:eastAsia="仿宋" w:cs="仿宋"/>
                      <w:sz w:val="24"/>
                      <w:szCs w:val="24"/>
                      <w:lang w:val="en-US" w:eastAsia="zh-CN" w:bidi="ar"/>
                    </w:rPr>
                    <w:t>​</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 xml:space="preserve"> 乙方连续两个月无法保障人员稳定或无法达到服务标准的，甲方有权单方面解除合同。</w:t>
                  </w:r>
                </w:p>
              </w:tc>
              <w:tc>
                <w:tcPr>
                  <w:tcW w:w="455"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0E3B6C86">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元/吨</w:t>
                  </w:r>
                </w:p>
              </w:tc>
              <w:tc>
                <w:tcPr>
                  <w:tcW w:w="451" w:type="pct"/>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6B8C3E8A">
                  <w:pPr>
                    <w:keepNext w:val="0"/>
                    <w:keepLines w:val="0"/>
                    <w:widowControl/>
                    <w:suppressLineNumbers w:val="0"/>
                    <w:snapToGrid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9.52</w:t>
                  </w:r>
                </w:p>
              </w:tc>
              <w:tc>
                <w:tcPr>
                  <w:tcW w:w="958" w:type="pct"/>
                  <w:vMerge w:val="restart"/>
                  <w:tcBorders>
                    <w:top w:val="nil"/>
                    <w:left w:val="single" w:color="000000" w:sz="4" w:space="0"/>
                    <w:bottom w:val="single" w:color="000000" w:sz="4" w:space="0"/>
                    <w:right w:val="single" w:color="000000" w:sz="4" w:space="0"/>
                  </w:tcBorders>
                  <w:shd w:val="clear" w:color="auto" w:fill="auto"/>
                  <w:vAlign w:val="center"/>
                </w:tcPr>
                <w:p w14:paraId="276FA450">
                  <w:pPr>
                    <w:keepNext w:val="0"/>
                    <w:keepLines w:val="0"/>
                    <w:widowControl/>
                    <w:suppressLineNumbers w:val="0"/>
                    <w:snapToGrid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按照实际作业吨位含税计价方式结算。</w:t>
                  </w:r>
                </w:p>
              </w:tc>
            </w:tr>
            <w:tr w14:paraId="2F37A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02" w:type="pct"/>
                  <w:vMerge w:val="continue"/>
                  <w:tcBorders>
                    <w:left w:val="single" w:color="000000" w:sz="4" w:space="0"/>
                    <w:right w:val="single" w:color="000000" w:sz="4" w:space="0"/>
                  </w:tcBorders>
                  <w:shd w:val="clear" w:color="auto" w:fill="auto"/>
                  <w:vAlign w:val="center"/>
                </w:tcPr>
                <w:p w14:paraId="36DF013F">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lang w:val="en-US" w:eastAsia="zh-CN"/>
                    </w:rPr>
                  </w:pPr>
                </w:p>
              </w:tc>
              <w:tc>
                <w:tcPr>
                  <w:tcW w:w="404" w:type="pct"/>
                  <w:vMerge w:val="continue"/>
                  <w:tcBorders>
                    <w:left w:val="single" w:color="000000" w:sz="4" w:space="0"/>
                    <w:right w:val="single" w:color="000000" w:sz="4" w:space="0"/>
                  </w:tcBorders>
                  <w:shd w:val="clear" w:color="auto" w:fill="auto"/>
                  <w:vAlign w:val="center"/>
                </w:tcPr>
                <w:p w14:paraId="50483C22">
                  <w:pPr>
                    <w:keepNext w:val="0"/>
                    <w:keepLines w:val="0"/>
                    <w:widowControl/>
                    <w:suppressLineNumbers w:val="0"/>
                    <w:snapToGrid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2327" w:type="pct"/>
                  <w:vMerge w:val="continue"/>
                  <w:tcBorders>
                    <w:left w:val="nil"/>
                    <w:right w:val="nil"/>
                  </w:tcBorders>
                  <w:shd w:val="clear" w:color="auto" w:fill="auto"/>
                  <w:vAlign w:val="top"/>
                </w:tcPr>
                <w:p w14:paraId="02883DC0">
                  <w:pPr>
                    <w:keepNext w:val="0"/>
                    <w:keepLines w:val="0"/>
                    <w:widowControl/>
                    <w:numPr>
                      <w:ilvl w:val="0"/>
                      <w:numId w:val="0"/>
                    </w:numPr>
                    <w:suppressLineNumbers w:val="0"/>
                    <w:snapToGrid w:val="0"/>
                    <w:jc w:val="left"/>
                    <w:textAlignment w:val="top"/>
                    <w:rPr>
                      <w:rStyle w:val="4"/>
                      <w:rFonts w:hint="eastAsia"/>
                      <w:lang w:val="en-US" w:eastAsia="zh-CN" w:bidi="ar"/>
                    </w:rPr>
                  </w:pPr>
                </w:p>
              </w:tc>
              <w:tc>
                <w:tcPr>
                  <w:tcW w:w="455" w:type="pct"/>
                  <w:vMerge w:val="continue"/>
                  <w:tcBorders>
                    <w:left w:val="single" w:color="000000" w:sz="4" w:space="0"/>
                    <w:right w:val="single" w:color="000000" w:sz="4" w:space="0"/>
                  </w:tcBorders>
                  <w:shd w:val="clear" w:color="auto" w:fill="auto"/>
                  <w:vAlign w:val="center"/>
                </w:tcPr>
                <w:p w14:paraId="3ADC238A">
                  <w:pPr>
                    <w:keepNext w:val="0"/>
                    <w:keepLines w:val="0"/>
                    <w:widowControl/>
                    <w:suppressLineNumbers w:val="0"/>
                    <w:snapToGrid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451" w:type="pct"/>
                  <w:vMerge w:val="continue"/>
                  <w:tcBorders>
                    <w:left w:val="single" w:color="000000" w:sz="4" w:space="0"/>
                    <w:right w:val="single" w:color="000000" w:sz="4" w:space="0"/>
                  </w:tcBorders>
                  <w:shd w:val="clear" w:color="auto" w:fill="auto"/>
                  <w:vAlign w:val="center"/>
                </w:tcPr>
                <w:p w14:paraId="4351DB5B">
                  <w:pPr>
                    <w:keepNext w:val="0"/>
                    <w:keepLines w:val="0"/>
                    <w:widowControl/>
                    <w:suppressLineNumbers w:val="0"/>
                    <w:snapToGrid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58" w:type="pct"/>
                  <w:vMerge w:val="continue"/>
                  <w:tcBorders>
                    <w:left w:val="single" w:color="000000" w:sz="4" w:space="0"/>
                    <w:right w:val="single" w:color="000000" w:sz="4" w:space="0"/>
                  </w:tcBorders>
                  <w:shd w:val="clear" w:color="auto" w:fill="auto"/>
                  <w:vAlign w:val="center"/>
                </w:tcPr>
                <w:p w14:paraId="12553ADC">
                  <w:pPr>
                    <w:keepNext w:val="0"/>
                    <w:keepLines w:val="0"/>
                    <w:widowControl/>
                    <w:suppressLineNumbers w:val="0"/>
                    <w:snapToGrid w:val="0"/>
                    <w:jc w:val="left"/>
                    <w:textAlignment w:val="center"/>
                    <w:rPr>
                      <w:rFonts w:hint="eastAsia" w:ascii="仿宋" w:hAnsi="仿宋" w:eastAsia="仿宋" w:cs="仿宋"/>
                      <w:i w:val="0"/>
                      <w:iCs w:val="0"/>
                      <w:color w:val="000000"/>
                      <w:kern w:val="0"/>
                      <w:sz w:val="24"/>
                      <w:szCs w:val="24"/>
                      <w:u w:val="none"/>
                      <w:lang w:val="en-US" w:eastAsia="zh-CN" w:bidi="ar"/>
                    </w:rPr>
                  </w:pPr>
                </w:p>
              </w:tc>
            </w:tr>
            <w:tr w14:paraId="69FDE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402" w:type="pct"/>
                  <w:vMerge w:val="continue"/>
                  <w:tcBorders>
                    <w:top w:val="nil"/>
                    <w:left w:val="single" w:color="000000" w:sz="4" w:space="0"/>
                    <w:bottom w:val="single" w:color="000000" w:sz="4" w:space="0"/>
                    <w:right w:val="single" w:color="000000" w:sz="4" w:space="0"/>
                  </w:tcBorders>
                  <w:shd w:val="clear" w:color="auto" w:fill="auto"/>
                  <w:vAlign w:val="center"/>
                </w:tcPr>
                <w:p w14:paraId="3FCC5FCF">
                  <w:pPr>
                    <w:snapToGrid w:val="0"/>
                    <w:jc w:val="center"/>
                    <w:rPr>
                      <w:rFonts w:hint="eastAsia" w:ascii="仿宋" w:hAnsi="仿宋" w:eastAsia="仿宋" w:cs="仿宋"/>
                      <w:i w:val="0"/>
                      <w:iCs w:val="0"/>
                      <w:color w:val="000000"/>
                      <w:sz w:val="24"/>
                      <w:szCs w:val="24"/>
                      <w:u w:val="none"/>
                    </w:rPr>
                  </w:pPr>
                </w:p>
              </w:tc>
              <w:tc>
                <w:tcPr>
                  <w:tcW w:w="404" w:type="pct"/>
                  <w:vMerge w:val="continue"/>
                  <w:tcBorders>
                    <w:top w:val="nil"/>
                    <w:left w:val="single" w:color="000000" w:sz="4" w:space="0"/>
                    <w:bottom w:val="single" w:color="000000" w:sz="4" w:space="0"/>
                    <w:right w:val="single" w:color="000000" w:sz="4" w:space="0"/>
                  </w:tcBorders>
                  <w:shd w:val="clear" w:color="auto" w:fill="auto"/>
                  <w:vAlign w:val="center"/>
                </w:tcPr>
                <w:p w14:paraId="180A3C48">
                  <w:pPr>
                    <w:snapToGrid w:val="0"/>
                    <w:jc w:val="center"/>
                    <w:rPr>
                      <w:rFonts w:hint="eastAsia" w:ascii="仿宋" w:hAnsi="仿宋" w:eastAsia="仿宋" w:cs="仿宋"/>
                      <w:i w:val="0"/>
                      <w:iCs w:val="0"/>
                      <w:color w:val="000000"/>
                      <w:sz w:val="24"/>
                      <w:szCs w:val="24"/>
                      <w:u w:val="none"/>
                    </w:rPr>
                  </w:pPr>
                </w:p>
              </w:tc>
              <w:tc>
                <w:tcPr>
                  <w:tcW w:w="2327" w:type="pct"/>
                  <w:vMerge w:val="continue"/>
                  <w:tcBorders>
                    <w:top w:val="single" w:color="auto" w:sz="4" w:space="0"/>
                    <w:left w:val="nil"/>
                    <w:bottom w:val="single" w:color="auto" w:sz="4" w:space="0"/>
                    <w:right w:val="nil"/>
                  </w:tcBorders>
                  <w:shd w:val="clear" w:color="auto" w:fill="auto"/>
                  <w:vAlign w:val="top"/>
                </w:tcPr>
                <w:p w14:paraId="139CF1FE">
                  <w:pPr>
                    <w:snapToGrid w:val="0"/>
                    <w:jc w:val="left"/>
                    <w:rPr>
                      <w:rFonts w:hint="eastAsia" w:ascii="仿宋" w:hAnsi="仿宋" w:eastAsia="仿宋" w:cs="仿宋"/>
                      <w:i w:val="0"/>
                      <w:iCs w:val="0"/>
                      <w:color w:val="000000"/>
                      <w:sz w:val="22"/>
                      <w:szCs w:val="22"/>
                      <w:u w:val="none"/>
                    </w:rPr>
                  </w:pPr>
                </w:p>
              </w:tc>
              <w:tc>
                <w:tcPr>
                  <w:tcW w:w="455"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2BCF8DD5">
                  <w:pPr>
                    <w:snapToGrid w:val="0"/>
                    <w:jc w:val="center"/>
                    <w:rPr>
                      <w:rFonts w:hint="eastAsia" w:ascii="仿宋" w:hAnsi="仿宋" w:eastAsia="仿宋" w:cs="仿宋"/>
                      <w:i w:val="0"/>
                      <w:iCs w:val="0"/>
                      <w:color w:val="000000"/>
                      <w:sz w:val="20"/>
                      <w:szCs w:val="20"/>
                      <w:u w:val="none"/>
                    </w:rPr>
                  </w:pPr>
                </w:p>
              </w:tc>
              <w:tc>
                <w:tcPr>
                  <w:tcW w:w="451"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7568B1CF">
                  <w:pPr>
                    <w:snapToGrid w:val="0"/>
                    <w:jc w:val="center"/>
                    <w:rPr>
                      <w:rFonts w:hint="eastAsia" w:ascii="仿宋" w:hAnsi="仿宋" w:eastAsia="仿宋" w:cs="仿宋"/>
                      <w:i w:val="0"/>
                      <w:iCs w:val="0"/>
                      <w:color w:val="000000"/>
                      <w:sz w:val="24"/>
                      <w:szCs w:val="24"/>
                      <w:u w:val="none"/>
                    </w:rPr>
                  </w:pPr>
                </w:p>
              </w:tc>
              <w:tc>
                <w:tcPr>
                  <w:tcW w:w="958" w:type="pct"/>
                  <w:vMerge w:val="continue"/>
                  <w:tcBorders>
                    <w:top w:val="nil"/>
                    <w:left w:val="single" w:color="000000" w:sz="4" w:space="0"/>
                    <w:bottom w:val="single" w:color="000000" w:sz="4" w:space="0"/>
                    <w:right w:val="single" w:color="000000" w:sz="4" w:space="0"/>
                  </w:tcBorders>
                  <w:shd w:val="clear" w:color="auto" w:fill="auto"/>
                  <w:vAlign w:val="center"/>
                </w:tcPr>
                <w:p w14:paraId="5927AB6B">
                  <w:pPr>
                    <w:snapToGrid w:val="0"/>
                    <w:jc w:val="left"/>
                    <w:rPr>
                      <w:rFonts w:hint="eastAsia" w:ascii="仿宋" w:hAnsi="仿宋" w:eastAsia="仿宋" w:cs="仿宋"/>
                      <w:i w:val="0"/>
                      <w:iCs w:val="0"/>
                      <w:color w:val="000000"/>
                      <w:sz w:val="24"/>
                      <w:szCs w:val="24"/>
                      <w:u w:val="none"/>
                    </w:rPr>
                  </w:pPr>
                </w:p>
              </w:tc>
            </w:tr>
            <w:tr w14:paraId="4287E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52" w:hRule="atLeast"/>
                <w:jc w:val="center"/>
              </w:trPr>
              <w:tc>
                <w:tcPr>
                  <w:tcW w:w="402" w:type="pct"/>
                  <w:tcBorders>
                    <w:top w:val="nil"/>
                    <w:left w:val="single" w:color="000000" w:sz="4" w:space="0"/>
                    <w:bottom w:val="single" w:color="000000" w:sz="4" w:space="0"/>
                    <w:right w:val="single" w:color="000000" w:sz="4" w:space="0"/>
                  </w:tcBorders>
                  <w:shd w:val="clear" w:color="auto" w:fill="auto"/>
                  <w:vAlign w:val="center"/>
                </w:tcPr>
                <w:p w14:paraId="3B677CC2">
                  <w:pPr>
                    <w:snapToGrid w:val="0"/>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404" w:type="pct"/>
                  <w:tcBorders>
                    <w:top w:val="nil"/>
                    <w:left w:val="single" w:color="000000" w:sz="4" w:space="0"/>
                    <w:bottom w:val="single" w:color="000000" w:sz="4" w:space="0"/>
                    <w:right w:val="single" w:color="000000" w:sz="4" w:space="0"/>
                  </w:tcBorders>
                  <w:shd w:val="clear" w:color="auto" w:fill="auto"/>
                  <w:vAlign w:val="center"/>
                </w:tcPr>
                <w:p w14:paraId="0DD98BAD">
                  <w:pPr>
                    <w:snapToGrid w:val="0"/>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装卸作业服务出仓</w:t>
                  </w:r>
                </w:p>
              </w:tc>
              <w:tc>
                <w:tcPr>
                  <w:tcW w:w="2327" w:type="pct"/>
                  <w:tcBorders>
                    <w:top w:val="single" w:color="auto" w:sz="4" w:space="0"/>
                    <w:left w:val="nil"/>
                    <w:bottom w:val="single" w:color="auto" w:sz="4" w:space="0"/>
                    <w:right w:val="nil"/>
                  </w:tcBorders>
                  <w:shd w:val="clear" w:color="auto" w:fill="auto"/>
                  <w:vAlign w:val="top"/>
                </w:tcPr>
                <w:p w14:paraId="10B9F3FD">
                  <w:pPr>
                    <w:keepNext w:val="0"/>
                    <w:keepLines w:val="0"/>
                    <w:widowControl/>
                    <w:numPr>
                      <w:ilvl w:val="0"/>
                      <w:numId w:val="0"/>
                    </w:numPr>
                    <w:suppressLineNumbers w:val="0"/>
                    <w:snapToGrid w:val="0"/>
                    <w:jc w:val="left"/>
                    <w:textAlignment w:val="top"/>
                    <w:rPr>
                      <w:rFonts w:hint="eastAsia" w:ascii="仿宋" w:hAnsi="仿宋" w:eastAsia="仿宋" w:cs="仿宋"/>
                      <w:i w:val="0"/>
                      <w:iCs w:val="0"/>
                      <w:color w:val="000000"/>
                      <w:sz w:val="22"/>
                      <w:szCs w:val="22"/>
                      <w:u w:val="none"/>
                    </w:rPr>
                  </w:pPr>
                  <w:r>
                    <w:rPr>
                      <w:rStyle w:val="4"/>
                      <w:rFonts w:hint="eastAsia" w:ascii="仿宋" w:hAnsi="仿宋" w:eastAsia="仿宋" w:cs="仿宋"/>
                      <w:sz w:val="24"/>
                      <w:szCs w:val="24"/>
                      <w:lang w:val="en-US" w:eastAsia="zh-CN" w:bidi="ar"/>
                    </w:rPr>
                    <w:t>一、业务概况</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（一）项目名称：夹江县粮食及物资仓储项目全流程装卸作业服务；</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（二）服务内容：粮食出库作业服务及现场管理、粮食装车、倒仓转运业务，具体如下：</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1.粮食出仓，扒粮、集粮，使用扒粮机、吸粮机归集粮食，装车，车辆对位、引导，装车过程监控，均衡装车防止偏载；</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2.库内不同仓房之间粮食转运、轮换倒仓、分仓整理装卸；</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3.作业区域散落粮食回收、场地清扫保洁；</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4.装卸设备辅助移位摆放；</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5.落实现场安全防护、车辆疏导，防止粮食混样、抛洒污染，配合库方完成出仓相关装卸服务工作。</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二、人员要求</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（一）资质要求：须持有有效健康证，无犯罪记录。</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（二）保险要求：乙方须为装卸人员购买工伤保险或意外伤害险或保额不低于50万元的雇主责任险，并将保单复印件交甲方备案。</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三、责任界定</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（一）货损赔付：装卸过程中的货物破损、丢失由乙方全权负责，按甲方当期同品类采购结算价全额赔付。</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（二）安全责任：装卸人员的人身安全事故（含安全事故、装卸扭伤等）均由乙方自行承担，与甲方无关。</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（三）服从指挥：装卸人员须绝对服从甲方人员的现场调度指挥，不得干扰驾驶员行车安全。</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四、计价与结算</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（一）计价标准：</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出仓按不高于7.14元/吨（含税）执行。该单价包含但不限于人工费、保险费、管理费、利润、税金及装卸损耗风险费。</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（二）计量规则：</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每月依据地磅真实称重台账核算当月各类作业实际完成吨位结算。</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（三）结算方式：</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按月结算。每月5日前，甲乙双方核对上月实际装卸总吨位，乙方开具等额增值税专用发票后，甲方于10个工作日内支付款项。</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五、考核与退出</w:t>
                  </w:r>
                  <w:r>
                    <w:rPr>
                      <w:rStyle w:val="5"/>
                      <w:rFonts w:hint="eastAsia" w:ascii="仿宋" w:hAnsi="仿宋" w:eastAsia="仿宋" w:cs="仿宋"/>
                      <w:sz w:val="24"/>
                      <w:szCs w:val="24"/>
                      <w:lang w:val="en-US" w:eastAsia="zh-CN" w:bidi="ar"/>
                    </w:rPr>
                    <w:t>​</w:t>
                  </w:r>
                  <w:r>
                    <w:rPr>
                      <w:rStyle w:val="4"/>
                      <w:rFonts w:hint="eastAsia" w:ascii="仿宋" w:hAnsi="仿宋" w:eastAsia="仿宋" w:cs="仿宋"/>
                      <w:sz w:val="24"/>
                      <w:szCs w:val="24"/>
                      <w:lang w:val="en-US" w:eastAsia="zh-CN" w:bidi="ar"/>
                    </w:rPr>
                    <w:br w:type="textWrapping"/>
                  </w:r>
                  <w:r>
                    <w:rPr>
                      <w:rStyle w:val="4"/>
                      <w:rFonts w:hint="eastAsia" w:ascii="仿宋" w:hAnsi="仿宋" w:eastAsia="仿宋" w:cs="仿宋"/>
                      <w:sz w:val="24"/>
                      <w:szCs w:val="24"/>
                      <w:lang w:val="en-US" w:eastAsia="zh-CN" w:bidi="ar"/>
                    </w:rPr>
                    <w:t xml:space="preserve"> 乙方连续两个月无法保障人员稳定或无法达到服务标准的，甲方有权单方面解除合同。</w:t>
                  </w:r>
                </w:p>
              </w:tc>
              <w:tc>
                <w:tcPr>
                  <w:tcW w:w="455" w:type="pct"/>
                  <w:tcBorders>
                    <w:top w:val="single" w:color="auto" w:sz="4" w:space="0"/>
                    <w:left w:val="single" w:color="000000" w:sz="4" w:space="0"/>
                    <w:bottom w:val="single" w:color="auto" w:sz="4" w:space="0"/>
                    <w:right w:val="single" w:color="000000" w:sz="4" w:space="0"/>
                  </w:tcBorders>
                  <w:shd w:val="clear" w:color="auto" w:fill="auto"/>
                  <w:vAlign w:val="center"/>
                </w:tcPr>
                <w:p w14:paraId="10F3E750">
                  <w:pPr>
                    <w:snapToGrid w:val="0"/>
                    <w:jc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元/吨</w:t>
                  </w:r>
                </w:p>
              </w:tc>
              <w:tc>
                <w:tcPr>
                  <w:tcW w:w="451" w:type="pct"/>
                  <w:tcBorders>
                    <w:top w:val="single" w:color="auto" w:sz="4" w:space="0"/>
                    <w:left w:val="single" w:color="000000" w:sz="4" w:space="0"/>
                    <w:bottom w:val="single" w:color="auto" w:sz="4" w:space="0"/>
                    <w:right w:val="single" w:color="000000" w:sz="4" w:space="0"/>
                  </w:tcBorders>
                  <w:shd w:val="clear" w:color="auto" w:fill="auto"/>
                  <w:vAlign w:val="center"/>
                </w:tcPr>
                <w:p w14:paraId="1A45725A">
                  <w:pPr>
                    <w:snapToGrid w:val="0"/>
                    <w:jc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7.14</w:t>
                  </w:r>
                </w:p>
              </w:tc>
              <w:tc>
                <w:tcPr>
                  <w:tcW w:w="958" w:type="pct"/>
                  <w:tcBorders>
                    <w:top w:val="nil"/>
                    <w:left w:val="single" w:color="000000" w:sz="4" w:space="0"/>
                    <w:bottom w:val="single" w:color="000000" w:sz="4" w:space="0"/>
                    <w:right w:val="single" w:color="000000" w:sz="4" w:space="0"/>
                  </w:tcBorders>
                  <w:shd w:val="clear" w:color="auto" w:fill="auto"/>
                  <w:vAlign w:val="center"/>
                </w:tcPr>
                <w:p w14:paraId="1EA63BE9">
                  <w:pPr>
                    <w:snapToGrid w:val="0"/>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按照实际作业吨位含税计价方式结算。</w:t>
                  </w:r>
                </w:p>
              </w:tc>
            </w:tr>
          </w:tbl>
          <w:p w14:paraId="0DCCCE94"/>
          <w:p w14:paraId="262EE1B5">
            <w:pPr>
              <w:jc w:val="both"/>
              <w:rPr>
                <w:rFonts w:hint="default"/>
                <w:lang w:val="en-US" w:eastAsia="zh-CN"/>
              </w:rPr>
            </w:pPr>
            <w:r>
              <w:rPr>
                <w:rFonts w:hint="eastAsia" w:ascii="仿宋" w:hAnsi="仿宋" w:eastAsia="仿宋" w:cs="仿宋"/>
                <w:sz w:val="24"/>
                <w:szCs w:val="24"/>
                <w:lang w:val="en-US" w:eastAsia="zh-CN"/>
              </w:rPr>
              <w:t>注：以上价格为全费用综合单价，即包含提供服务所需全部成本，如人工费、管理费、利润、税金和一定范围内的风险费用等为满足项目需要所发生和可能发生的所有费用。</w:t>
            </w:r>
          </w:p>
        </w:tc>
      </w:tr>
    </w:tbl>
    <w:p w14:paraId="349DFD2F">
      <w:pPr>
        <w:jc w:val="both"/>
        <w:rPr>
          <w:rFonts w:hint="default"/>
          <w:lang w:val="en-US" w:eastAsia="zh-CN"/>
        </w:rPr>
      </w:pPr>
    </w:p>
    <w:p w14:paraId="3A1E979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CCD2E5"/>
    <w:multiLevelType w:val="singleLevel"/>
    <w:tmpl w:val="A2CCD2E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C60D3D"/>
    <w:rsid w:val="31C60D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81"/>
    <w:basedOn w:val="3"/>
    <w:autoRedefine/>
    <w:qFormat/>
    <w:uiPriority w:val="0"/>
    <w:rPr>
      <w:rFonts w:hint="eastAsia" w:ascii="宋体" w:hAnsi="宋体" w:eastAsia="宋体" w:cs="宋体"/>
      <w:color w:val="000000"/>
      <w:sz w:val="24"/>
      <w:szCs w:val="24"/>
      <w:u w:val="none"/>
    </w:rPr>
  </w:style>
  <w:style w:type="character" w:customStyle="1" w:styleId="5">
    <w:name w:val="font111"/>
    <w:basedOn w:val="3"/>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2026-10-30T09:30:00Z</dcterms:created>
  <dc:creator>WPS_1530062022</dc:creator>
  <cp:lastModifiedBy>WPS_1530062022</cp:lastModifiedBy>
  <dcterms:modified xsi:type="dcterms:W3CDTF">2026-10-30T09:31:15Z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836156C5B5524CDF9BF59F6C13793BD0_11</vt:lpwstr>
  </property>
  <property fmtid="{D5CDD505-2E9C-101B-9397-08002B2CF9AE}" pid="4" name="KSOTemplateDocerSaveRecord">
    <vt:lpwstr>eyJoZGlkIjoiMjYyN2Y1MWEyNmM2NzE2MDFhMjlmOWJmOGZhZjU0OTciLCJ1c2VySWQiOiIzODE1NTk2NzgifQ==</vt:lpwstr>
  </property>
</Properties>
</file>